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A4" w:rsidRPr="001F6E19" w:rsidRDefault="005D70A4" w:rsidP="00D114DF">
      <w:pPr>
        <w:shd w:val="clear" w:color="auto" w:fill="FFFFFF"/>
        <w:spacing w:after="0" w:line="240" w:lineRule="auto"/>
        <w:jc w:val="center"/>
        <w:outlineLvl w:val="2"/>
        <w:rPr>
          <w:rFonts w:ascii="Arial" w:eastAsia="Times New Roman" w:hAnsi="Arial" w:cs="Arial"/>
          <w:bCs/>
          <w:sz w:val="28"/>
          <w:szCs w:val="28"/>
          <w:lang w:eastAsia="en-GB"/>
        </w:rPr>
      </w:pPr>
      <w:r w:rsidRPr="001F6E19">
        <w:rPr>
          <w:rFonts w:ascii="Arial" w:eastAsia="Times New Roman" w:hAnsi="Arial" w:cs="Arial"/>
          <w:bCs/>
          <w:sz w:val="28"/>
          <w:szCs w:val="28"/>
          <w:lang w:eastAsia="en-GB"/>
        </w:rPr>
        <w:t>AMT FUTURES LIMITED</w:t>
      </w:r>
      <w:r w:rsidR="006C7DBD" w:rsidRPr="001F6E19">
        <w:rPr>
          <w:rFonts w:ascii="Arial" w:eastAsia="Times New Roman" w:hAnsi="Arial" w:cs="Arial"/>
          <w:bCs/>
          <w:sz w:val="28"/>
          <w:szCs w:val="28"/>
          <w:lang w:eastAsia="en-GB"/>
        </w:rPr>
        <w:t xml:space="preserve"> </w:t>
      </w:r>
    </w:p>
    <w:p w:rsidR="005D70A4" w:rsidRPr="001F6E19" w:rsidRDefault="00933F98" w:rsidP="00D114DF">
      <w:pPr>
        <w:shd w:val="clear" w:color="auto" w:fill="FFFFFF"/>
        <w:spacing w:after="0" w:line="240" w:lineRule="auto"/>
        <w:jc w:val="center"/>
        <w:outlineLvl w:val="2"/>
        <w:rPr>
          <w:rFonts w:ascii="Arial" w:eastAsia="Times New Roman" w:hAnsi="Arial" w:cs="Arial"/>
          <w:bCs/>
          <w:sz w:val="28"/>
          <w:szCs w:val="28"/>
          <w:lang w:eastAsia="en-GB"/>
        </w:rPr>
      </w:pPr>
      <w:r>
        <w:rPr>
          <w:rFonts w:ascii="Arial" w:eastAsia="Times New Roman" w:hAnsi="Arial" w:cs="Arial"/>
          <w:bCs/>
          <w:sz w:val="28"/>
          <w:szCs w:val="28"/>
          <w:lang w:eastAsia="en-GB"/>
        </w:rPr>
        <w:t>2020</w:t>
      </w:r>
      <w:r w:rsidR="005A72F4" w:rsidRPr="001F6E19">
        <w:rPr>
          <w:rFonts w:ascii="Arial" w:eastAsia="Times New Roman" w:hAnsi="Arial" w:cs="Arial"/>
          <w:bCs/>
          <w:sz w:val="28"/>
          <w:szCs w:val="28"/>
          <w:lang w:eastAsia="en-GB"/>
        </w:rPr>
        <w:t xml:space="preserve"> </w:t>
      </w:r>
      <w:r w:rsidR="006C7DBD" w:rsidRPr="001F6E19">
        <w:rPr>
          <w:rFonts w:ascii="Arial" w:eastAsia="Times New Roman" w:hAnsi="Arial" w:cs="Arial"/>
          <w:bCs/>
          <w:sz w:val="28"/>
          <w:szCs w:val="28"/>
          <w:lang w:eastAsia="en-GB"/>
        </w:rPr>
        <w:t>RTS 28 REPORT</w:t>
      </w:r>
    </w:p>
    <w:p w:rsidR="005D70A4" w:rsidRPr="001F6E19" w:rsidRDefault="005D70A4" w:rsidP="005D70A4">
      <w:pPr>
        <w:shd w:val="clear" w:color="auto" w:fill="FFFFFF"/>
        <w:spacing w:after="0" w:line="240" w:lineRule="auto"/>
        <w:rPr>
          <w:rFonts w:ascii="Arial" w:eastAsia="Times New Roman" w:hAnsi="Arial" w:cs="Arial"/>
          <w:lang w:eastAsia="en-GB"/>
        </w:rPr>
      </w:pPr>
    </w:p>
    <w:p w:rsidR="005D70A4" w:rsidRPr="00D44390" w:rsidRDefault="00B84203" w:rsidP="00D114DF">
      <w:pPr>
        <w:shd w:val="clear" w:color="auto" w:fill="FFFFFF"/>
        <w:spacing w:after="0" w:line="240" w:lineRule="auto"/>
        <w:jc w:val="both"/>
        <w:rPr>
          <w:rFonts w:ascii="Arial" w:eastAsia="Times New Roman" w:hAnsi="Arial" w:cs="Arial"/>
          <w:b/>
          <w:lang w:eastAsia="en-GB"/>
        </w:rPr>
      </w:pPr>
      <w:r>
        <w:rPr>
          <w:rFonts w:ascii="Arial" w:eastAsia="Times New Roman" w:hAnsi="Arial" w:cs="Arial"/>
          <w:b/>
          <w:lang w:eastAsia="en-GB"/>
        </w:rPr>
        <w:t>1</w:t>
      </w:r>
      <w:r w:rsidRPr="00D44390">
        <w:rPr>
          <w:rFonts w:ascii="Arial" w:eastAsia="Times New Roman" w:hAnsi="Arial" w:cs="Arial"/>
          <w:b/>
          <w:lang w:eastAsia="en-GB"/>
        </w:rPr>
        <w:tab/>
      </w:r>
      <w:r w:rsidR="00D114DF" w:rsidRPr="00D44390">
        <w:rPr>
          <w:rFonts w:ascii="Arial" w:eastAsia="Times New Roman" w:hAnsi="Arial" w:cs="Arial"/>
          <w:b/>
          <w:lang w:eastAsia="en-GB"/>
        </w:rPr>
        <w:t>Introduction</w:t>
      </w:r>
    </w:p>
    <w:p w:rsidR="00D114DF" w:rsidRPr="001F6E19" w:rsidRDefault="00D114DF">
      <w:pPr>
        <w:shd w:val="clear" w:color="auto" w:fill="FFFFFF"/>
        <w:spacing w:after="0" w:line="240" w:lineRule="auto"/>
        <w:rPr>
          <w:rFonts w:ascii="Arial" w:eastAsia="Times New Roman" w:hAnsi="Arial" w:cs="Arial"/>
          <w:lang w:eastAsia="en-GB"/>
        </w:rPr>
      </w:pPr>
    </w:p>
    <w:p w:rsidR="00B84203" w:rsidRPr="001F6E19" w:rsidRDefault="006C7DBD" w:rsidP="00B84203">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AMT Futures Limited (the Company) is a matched principal broker specialising in providing </w:t>
      </w:r>
      <w:r w:rsidRPr="00D44390">
        <w:rPr>
          <w:rFonts w:ascii="Arial" w:hAnsi="Arial" w:cs="Arial"/>
          <w:bCs/>
          <w:lang w:val="en"/>
        </w:rPr>
        <w:t>a comprehens</w:t>
      </w:r>
      <w:r w:rsidR="005029D4" w:rsidRPr="00D44390">
        <w:rPr>
          <w:rFonts w:ascii="Arial" w:hAnsi="Arial" w:cs="Arial"/>
          <w:bCs/>
          <w:lang w:val="en"/>
        </w:rPr>
        <w:t>ive range of services to retail and</w:t>
      </w:r>
      <w:r w:rsidRPr="00D44390">
        <w:rPr>
          <w:rFonts w:ascii="Arial" w:hAnsi="Arial" w:cs="Arial"/>
          <w:bCs/>
          <w:lang w:val="en"/>
        </w:rPr>
        <w:t xml:space="preserve"> professional </w:t>
      </w:r>
      <w:r w:rsidR="005029D4" w:rsidRPr="00D44390">
        <w:rPr>
          <w:rFonts w:ascii="Arial" w:hAnsi="Arial" w:cs="Arial"/>
          <w:bCs/>
          <w:lang w:val="en"/>
        </w:rPr>
        <w:t>clients</w:t>
      </w:r>
      <w:r w:rsidRPr="00D44390">
        <w:rPr>
          <w:rFonts w:ascii="Arial" w:hAnsi="Arial" w:cs="Arial"/>
          <w:bCs/>
          <w:lang w:val="en"/>
        </w:rPr>
        <w:t xml:space="preserve"> who participate in the world’s futures, options and derivatives markets</w:t>
      </w:r>
      <w:r w:rsidR="004E4A78" w:rsidRPr="00D44390">
        <w:rPr>
          <w:rFonts w:ascii="Arial" w:hAnsi="Arial" w:cs="Arial"/>
          <w:bCs/>
          <w:lang w:val="en"/>
        </w:rPr>
        <w:t xml:space="preserve">.  </w:t>
      </w:r>
      <w:r w:rsidR="00B84203" w:rsidRPr="001F6E19">
        <w:rPr>
          <w:rFonts w:ascii="Arial" w:eastAsia="Times New Roman" w:hAnsi="Arial" w:cs="Arial"/>
          <w:lang w:eastAsia="en-GB"/>
        </w:rPr>
        <w:t>The Company’s registered office is at 55 Bishopsgate, London EC2N 3AH.  We are authorised and regulated as an investment firm by the Financial Services Authority with a firm reference number of 146311.</w:t>
      </w:r>
    </w:p>
    <w:p w:rsidR="006C7DBD" w:rsidRPr="001F6E19" w:rsidRDefault="006C7DBD">
      <w:pPr>
        <w:shd w:val="clear" w:color="auto" w:fill="FFFFFF"/>
        <w:spacing w:after="0" w:line="240" w:lineRule="auto"/>
        <w:rPr>
          <w:rFonts w:ascii="Arial" w:eastAsia="Times New Roman" w:hAnsi="Arial" w:cs="Arial"/>
          <w:lang w:eastAsia="en-GB"/>
        </w:rPr>
      </w:pPr>
      <w:bookmarkStart w:id="0" w:name="_GoBack"/>
      <w:bookmarkEnd w:id="0"/>
    </w:p>
    <w:p w:rsidR="005D70A4" w:rsidRPr="001F6E19" w:rsidRDefault="00481820" w:rsidP="006C7DBD">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We take our Best Execution obligations very seriously.  </w:t>
      </w:r>
      <w:r w:rsidR="006C7DBD" w:rsidRPr="001F6E19">
        <w:rPr>
          <w:rFonts w:ascii="Arial" w:eastAsia="Times New Roman" w:hAnsi="Arial" w:cs="Arial"/>
          <w:lang w:eastAsia="en-GB"/>
        </w:rPr>
        <w:t xml:space="preserve">Whether by executing orders “on a client’s behalf”, or transmitting them to a third party firm for execution, we will endeavour to protect your interests in relation to the pricing or other aspects of the transaction that may be affected by how we, or the other entity to which the order is transmitted, execute the </w:t>
      </w:r>
      <w:r w:rsidR="009C4A10">
        <w:rPr>
          <w:rFonts w:ascii="Arial" w:eastAsia="Times New Roman" w:hAnsi="Arial" w:cs="Arial"/>
          <w:lang w:eastAsia="en-GB"/>
        </w:rPr>
        <w:t>o</w:t>
      </w:r>
      <w:r w:rsidR="006C7DBD" w:rsidRPr="001F6E19">
        <w:rPr>
          <w:rFonts w:ascii="Arial" w:eastAsia="Times New Roman" w:hAnsi="Arial" w:cs="Arial"/>
          <w:lang w:eastAsia="en-GB"/>
        </w:rPr>
        <w:t xml:space="preserve">rder.   Our Order Execution Policy can be located at </w:t>
      </w:r>
      <w:hyperlink r:id="rId6" w:history="1">
        <w:r w:rsidR="006C7DBD" w:rsidRPr="001F6E19">
          <w:rPr>
            <w:rStyle w:val="Hyperlink"/>
            <w:rFonts w:ascii="Arial" w:eastAsia="Times New Roman" w:hAnsi="Arial" w:cs="Arial"/>
            <w:color w:val="auto"/>
            <w:lang w:eastAsia="en-GB"/>
          </w:rPr>
          <w:t>www.amtfutures.co.uk/copy-of-regulatory</w:t>
        </w:r>
      </w:hyperlink>
      <w:r w:rsidR="006C7DBD" w:rsidRPr="001F6E19">
        <w:rPr>
          <w:rFonts w:ascii="Arial" w:eastAsia="Times New Roman" w:hAnsi="Arial" w:cs="Arial"/>
          <w:lang w:eastAsia="en-GB"/>
        </w:rPr>
        <w:t>.</w:t>
      </w:r>
    </w:p>
    <w:p w:rsidR="00B84203" w:rsidRPr="001F6E19" w:rsidRDefault="00B84203" w:rsidP="006C7DBD">
      <w:pPr>
        <w:shd w:val="clear" w:color="auto" w:fill="FFFFFF"/>
        <w:spacing w:after="0" w:line="240" w:lineRule="auto"/>
        <w:rPr>
          <w:rFonts w:ascii="Arial" w:eastAsia="Times New Roman" w:hAnsi="Arial" w:cs="Arial"/>
          <w:lang w:eastAsia="en-GB"/>
        </w:rPr>
      </w:pPr>
    </w:p>
    <w:p w:rsidR="00B84203" w:rsidRPr="001F6E19" w:rsidRDefault="00D8104F" w:rsidP="006C7DBD">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EU Directive 2014/65/EU on Markets in Financial I</w:t>
      </w:r>
      <w:r w:rsidR="00B84203" w:rsidRPr="001F6E19">
        <w:rPr>
          <w:rFonts w:ascii="Arial" w:eastAsia="Times New Roman" w:hAnsi="Arial" w:cs="Arial"/>
          <w:lang w:eastAsia="en-GB"/>
        </w:rPr>
        <w:t xml:space="preserve">nstruments (MiFID II) requires investment firms who execute client </w:t>
      </w:r>
      <w:r w:rsidR="009C4A10">
        <w:rPr>
          <w:rFonts w:ascii="Arial" w:eastAsia="Times New Roman" w:hAnsi="Arial" w:cs="Arial"/>
          <w:lang w:eastAsia="en-GB"/>
        </w:rPr>
        <w:t>o</w:t>
      </w:r>
      <w:r w:rsidR="00B84203" w:rsidRPr="001F6E19">
        <w:rPr>
          <w:rFonts w:ascii="Arial" w:eastAsia="Times New Roman" w:hAnsi="Arial" w:cs="Arial"/>
          <w:lang w:eastAsia="en-GB"/>
        </w:rPr>
        <w:t xml:space="preserve">rders to summarise and make public on an annual basis, for each class of financial instrument, the top five execution venues in terms of trading volumes where they executed client orders in the preceding year and information on the quality of execution obtained.  This is commonly known as an RTS 28 report. </w:t>
      </w:r>
    </w:p>
    <w:p w:rsidR="006C7DBD" w:rsidRPr="001F6E19" w:rsidRDefault="006C7DBD" w:rsidP="006C7DBD">
      <w:pPr>
        <w:shd w:val="clear" w:color="auto" w:fill="FFFFFF"/>
        <w:spacing w:after="0" w:line="240" w:lineRule="auto"/>
        <w:rPr>
          <w:rFonts w:ascii="Arial" w:eastAsia="Times New Roman" w:hAnsi="Arial" w:cs="Arial"/>
          <w:lang w:eastAsia="en-GB"/>
        </w:rPr>
      </w:pPr>
    </w:p>
    <w:p w:rsidR="005D70A4" w:rsidRPr="00D44390" w:rsidRDefault="00B84203" w:rsidP="005D70A4">
      <w:pPr>
        <w:shd w:val="clear" w:color="auto" w:fill="FFFFFF"/>
        <w:spacing w:after="0" w:line="240" w:lineRule="auto"/>
        <w:rPr>
          <w:rFonts w:ascii="Arial" w:eastAsia="Times New Roman" w:hAnsi="Arial" w:cs="Arial"/>
          <w:b/>
          <w:lang w:eastAsia="en-GB"/>
        </w:rPr>
      </w:pPr>
      <w:r w:rsidRPr="00D44390">
        <w:rPr>
          <w:rFonts w:ascii="Arial" w:eastAsia="Times New Roman" w:hAnsi="Arial" w:cs="Arial"/>
          <w:b/>
          <w:lang w:eastAsia="en-GB"/>
        </w:rPr>
        <w:t>2</w:t>
      </w:r>
      <w:r w:rsidRPr="00D44390">
        <w:rPr>
          <w:rFonts w:ascii="Arial" w:eastAsia="Times New Roman" w:hAnsi="Arial" w:cs="Arial"/>
          <w:b/>
          <w:lang w:eastAsia="en-GB"/>
        </w:rPr>
        <w:tab/>
        <w:t>Our Approach</w:t>
      </w:r>
    </w:p>
    <w:p w:rsidR="00D114DF" w:rsidRPr="001F6E19" w:rsidRDefault="00D114DF" w:rsidP="005D70A4">
      <w:pPr>
        <w:shd w:val="clear" w:color="auto" w:fill="FFFFFF"/>
        <w:spacing w:after="0" w:line="240" w:lineRule="auto"/>
        <w:rPr>
          <w:rFonts w:ascii="Arial" w:eastAsia="Times New Roman" w:hAnsi="Arial" w:cs="Arial"/>
          <w:lang w:eastAsia="en-GB"/>
        </w:rPr>
      </w:pPr>
    </w:p>
    <w:p w:rsidR="005D70A4" w:rsidRPr="001F6E19" w:rsidRDefault="00B84203"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We publish this data annually in a machine readable format and make this available on our website at </w:t>
      </w:r>
      <w:hyperlink r:id="rId7" w:history="1">
        <w:r w:rsidRPr="001F6E19">
          <w:rPr>
            <w:rStyle w:val="Hyperlink"/>
            <w:rFonts w:ascii="Arial" w:eastAsia="Times New Roman" w:hAnsi="Arial" w:cs="Arial"/>
            <w:color w:val="auto"/>
            <w:lang w:eastAsia="en-GB"/>
          </w:rPr>
          <w:t>www.amtfutures.co.uk/copy-of-regulatory</w:t>
        </w:r>
      </w:hyperlink>
      <w:r w:rsidRPr="001F6E19">
        <w:rPr>
          <w:rFonts w:ascii="Arial" w:eastAsia="Times New Roman" w:hAnsi="Arial" w:cs="Arial"/>
          <w:lang w:eastAsia="en-GB"/>
        </w:rPr>
        <w:t>.</w:t>
      </w:r>
    </w:p>
    <w:p w:rsidR="000727D0" w:rsidRPr="001F6E19" w:rsidRDefault="000727D0" w:rsidP="005D70A4">
      <w:pPr>
        <w:shd w:val="clear" w:color="auto" w:fill="FFFFFF"/>
        <w:spacing w:after="0" w:line="240" w:lineRule="auto"/>
        <w:rPr>
          <w:rFonts w:ascii="Arial" w:eastAsia="Times New Roman" w:hAnsi="Arial" w:cs="Arial"/>
          <w:lang w:eastAsia="en-GB"/>
        </w:rPr>
      </w:pPr>
    </w:p>
    <w:p w:rsidR="000727D0" w:rsidRPr="001F6E19" w:rsidRDefault="000727D0"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We frequently review the effectiveness of our execution arrangements.  This includes:</w:t>
      </w:r>
    </w:p>
    <w:p w:rsidR="000727D0" w:rsidRPr="001F6E19" w:rsidRDefault="000727D0"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ab/>
      </w:r>
    </w:p>
    <w:p w:rsidR="000727D0" w:rsidRPr="001F6E19" w:rsidRDefault="000727D0" w:rsidP="000727D0">
      <w:pPr>
        <w:pStyle w:val="ListParagraph"/>
        <w:numPr>
          <w:ilvl w:val="0"/>
          <w:numId w:val="9"/>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Quality of execution</w:t>
      </w:r>
    </w:p>
    <w:p w:rsidR="000727D0" w:rsidRPr="001F6E19" w:rsidRDefault="000727D0" w:rsidP="000727D0">
      <w:pPr>
        <w:pStyle w:val="ListParagraph"/>
        <w:numPr>
          <w:ilvl w:val="0"/>
          <w:numId w:val="9"/>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Our procedures</w:t>
      </w:r>
    </w:p>
    <w:p w:rsidR="000727D0" w:rsidRPr="001F6E19" w:rsidRDefault="000727D0" w:rsidP="000727D0">
      <w:pPr>
        <w:pStyle w:val="ListParagraph"/>
        <w:numPr>
          <w:ilvl w:val="0"/>
          <w:numId w:val="9"/>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Broker selection</w:t>
      </w:r>
    </w:p>
    <w:p w:rsidR="000727D0" w:rsidRPr="001F6E19" w:rsidRDefault="000727D0" w:rsidP="000727D0">
      <w:pPr>
        <w:pStyle w:val="ListParagraph"/>
        <w:numPr>
          <w:ilvl w:val="0"/>
          <w:numId w:val="9"/>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Accessible execution venues</w:t>
      </w:r>
    </w:p>
    <w:p w:rsidR="000727D0" w:rsidRPr="001F6E19" w:rsidRDefault="000727D0" w:rsidP="000727D0">
      <w:pPr>
        <w:shd w:val="clear" w:color="auto" w:fill="FFFFFF"/>
        <w:spacing w:after="0" w:line="240" w:lineRule="auto"/>
        <w:rPr>
          <w:rFonts w:ascii="Arial" w:eastAsia="Times New Roman" w:hAnsi="Arial" w:cs="Arial"/>
          <w:lang w:eastAsia="en-GB"/>
        </w:rPr>
      </w:pPr>
    </w:p>
    <w:p w:rsidR="000727D0" w:rsidRPr="001F6E19" w:rsidRDefault="00481820" w:rsidP="00481820">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Any changes arising from these reviews are incorporated into a revised and enhanced Order Execution Policy.  We also carry out compliance monitoring of our adherence to the Order Execution Policy.</w:t>
      </w:r>
    </w:p>
    <w:p w:rsidR="005D70A4" w:rsidRPr="001F6E19" w:rsidRDefault="005D70A4"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w:t>
      </w:r>
    </w:p>
    <w:p w:rsidR="005D70A4" w:rsidRPr="00D44390" w:rsidRDefault="00481820" w:rsidP="005D70A4">
      <w:pPr>
        <w:shd w:val="clear" w:color="auto" w:fill="FFFFFF"/>
        <w:spacing w:after="0" w:line="240" w:lineRule="auto"/>
        <w:rPr>
          <w:rFonts w:ascii="Arial" w:eastAsia="Times New Roman" w:hAnsi="Arial" w:cs="Arial"/>
          <w:b/>
          <w:lang w:eastAsia="en-GB"/>
        </w:rPr>
      </w:pPr>
      <w:r w:rsidRPr="00D44390">
        <w:rPr>
          <w:rFonts w:ascii="Arial" w:eastAsia="Times New Roman" w:hAnsi="Arial" w:cs="Arial"/>
          <w:b/>
          <w:lang w:eastAsia="en-GB"/>
        </w:rPr>
        <w:t>3</w:t>
      </w:r>
      <w:r w:rsidRPr="00D44390">
        <w:rPr>
          <w:rFonts w:ascii="Arial" w:eastAsia="Times New Roman" w:hAnsi="Arial" w:cs="Arial"/>
          <w:b/>
          <w:lang w:eastAsia="en-GB"/>
        </w:rPr>
        <w:tab/>
        <w:t>Overview</w:t>
      </w:r>
    </w:p>
    <w:p w:rsidR="00D114DF" w:rsidRPr="001F6E19" w:rsidRDefault="00D114DF" w:rsidP="005D70A4">
      <w:pPr>
        <w:shd w:val="clear" w:color="auto" w:fill="FFFFFF"/>
        <w:spacing w:after="0" w:line="240" w:lineRule="auto"/>
        <w:rPr>
          <w:rFonts w:ascii="Arial" w:eastAsia="Times New Roman" w:hAnsi="Arial" w:cs="Arial"/>
          <w:lang w:eastAsia="en-GB"/>
        </w:rPr>
      </w:pPr>
    </w:p>
    <w:p w:rsidR="00016250" w:rsidRPr="001F6E19" w:rsidRDefault="00481820"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We do not trade in a proprietary capacity, but facilitate client business by acting in a matched principal capacity.  </w:t>
      </w:r>
      <w:r w:rsidR="00016250" w:rsidRPr="001F6E19">
        <w:rPr>
          <w:rFonts w:ascii="Arial" w:eastAsia="Times New Roman" w:hAnsi="Arial" w:cs="Arial"/>
          <w:lang w:eastAsia="en-GB"/>
        </w:rPr>
        <w:t>When executing client orders, the execution factors that will be taken into account are:</w:t>
      </w:r>
    </w:p>
    <w:p w:rsidR="00D114DF" w:rsidRPr="001F6E19" w:rsidRDefault="00D114DF" w:rsidP="005D70A4">
      <w:pPr>
        <w:shd w:val="clear" w:color="auto" w:fill="FFFFFF"/>
        <w:spacing w:after="0" w:line="240" w:lineRule="auto"/>
        <w:rPr>
          <w:rFonts w:ascii="Arial" w:eastAsia="Times New Roman" w:hAnsi="Arial" w:cs="Arial"/>
          <w:lang w:eastAsia="en-GB"/>
        </w:rPr>
      </w:pPr>
    </w:p>
    <w:p w:rsidR="00D5105D" w:rsidRPr="001F6E19" w:rsidRDefault="005D70A4" w:rsidP="00D114DF">
      <w:pPr>
        <w:pStyle w:val="ListParagraph"/>
        <w:numPr>
          <w:ilvl w:val="0"/>
          <w:numId w:val="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price; </w:t>
      </w:r>
    </w:p>
    <w:p w:rsidR="00D5105D" w:rsidRPr="001F6E19" w:rsidRDefault="005D70A4" w:rsidP="00D114DF">
      <w:pPr>
        <w:pStyle w:val="ListParagraph"/>
        <w:numPr>
          <w:ilvl w:val="0"/>
          <w:numId w:val="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costs</w:t>
      </w:r>
      <w:r w:rsidR="00D5105D" w:rsidRPr="001F6E19">
        <w:rPr>
          <w:rFonts w:ascii="Arial" w:eastAsia="Times New Roman" w:hAnsi="Arial" w:cs="Arial"/>
          <w:lang w:eastAsia="en-GB"/>
        </w:rPr>
        <w:t xml:space="preserve"> of the transaction</w:t>
      </w:r>
      <w:r w:rsidRPr="001F6E19">
        <w:rPr>
          <w:rFonts w:ascii="Arial" w:eastAsia="Times New Roman" w:hAnsi="Arial" w:cs="Arial"/>
          <w:lang w:eastAsia="en-GB"/>
        </w:rPr>
        <w:t xml:space="preserve">; </w:t>
      </w:r>
    </w:p>
    <w:p w:rsidR="00D5105D" w:rsidRPr="001F6E19" w:rsidRDefault="005D70A4" w:rsidP="00D114DF">
      <w:pPr>
        <w:pStyle w:val="ListParagraph"/>
        <w:numPr>
          <w:ilvl w:val="0"/>
          <w:numId w:val="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speed</w:t>
      </w:r>
      <w:r w:rsidR="00D5105D" w:rsidRPr="001F6E19">
        <w:rPr>
          <w:rFonts w:ascii="Arial" w:eastAsia="Times New Roman" w:hAnsi="Arial" w:cs="Arial"/>
          <w:lang w:eastAsia="en-GB"/>
        </w:rPr>
        <w:t xml:space="preserve"> of execution</w:t>
      </w:r>
      <w:r w:rsidRPr="001F6E19">
        <w:rPr>
          <w:rFonts w:ascii="Arial" w:eastAsia="Times New Roman" w:hAnsi="Arial" w:cs="Arial"/>
          <w:lang w:eastAsia="en-GB"/>
        </w:rPr>
        <w:t xml:space="preserve">; </w:t>
      </w:r>
    </w:p>
    <w:p w:rsidR="00D5105D" w:rsidRPr="001F6E19" w:rsidRDefault="005D70A4" w:rsidP="00D114DF">
      <w:pPr>
        <w:pStyle w:val="ListParagraph"/>
        <w:numPr>
          <w:ilvl w:val="0"/>
          <w:numId w:val="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likelihood of execution and</w:t>
      </w:r>
      <w:r w:rsidR="00D5105D" w:rsidRPr="001F6E19">
        <w:rPr>
          <w:rFonts w:ascii="Arial" w:eastAsia="Times New Roman" w:hAnsi="Arial" w:cs="Arial"/>
          <w:lang w:eastAsia="en-GB"/>
        </w:rPr>
        <w:t>/or</w:t>
      </w:r>
      <w:r w:rsidRPr="001F6E19">
        <w:rPr>
          <w:rFonts w:ascii="Arial" w:eastAsia="Times New Roman" w:hAnsi="Arial" w:cs="Arial"/>
          <w:lang w:eastAsia="en-GB"/>
        </w:rPr>
        <w:t xml:space="preserve"> settlement; </w:t>
      </w:r>
    </w:p>
    <w:p w:rsidR="00D5105D" w:rsidRPr="001F6E19" w:rsidRDefault="005D70A4" w:rsidP="00D114DF">
      <w:pPr>
        <w:pStyle w:val="ListParagraph"/>
        <w:numPr>
          <w:ilvl w:val="0"/>
          <w:numId w:val="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size </w:t>
      </w:r>
      <w:r w:rsidR="00D5105D" w:rsidRPr="001F6E19">
        <w:rPr>
          <w:rFonts w:ascii="Arial" w:eastAsia="Times New Roman" w:hAnsi="Arial" w:cs="Arial"/>
          <w:lang w:eastAsia="en-GB"/>
        </w:rPr>
        <w:t xml:space="preserve">and complexity of the </w:t>
      </w:r>
      <w:r w:rsidR="009C4A10">
        <w:rPr>
          <w:rFonts w:ascii="Arial" w:eastAsia="Times New Roman" w:hAnsi="Arial" w:cs="Arial"/>
          <w:lang w:eastAsia="en-GB"/>
        </w:rPr>
        <w:t>o</w:t>
      </w:r>
      <w:r w:rsidR="00D5105D" w:rsidRPr="001F6E19">
        <w:rPr>
          <w:rFonts w:ascii="Arial" w:eastAsia="Times New Roman" w:hAnsi="Arial" w:cs="Arial"/>
          <w:lang w:eastAsia="en-GB"/>
        </w:rPr>
        <w:t xml:space="preserve">rder; </w:t>
      </w:r>
      <w:r w:rsidRPr="001F6E19">
        <w:rPr>
          <w:rFonts w:ascii="Arial" w:eastAsia="Times New Roman" w:hAnsi="Arial" w:cs="Arial"/>
          <w:lang w:eastAsia="en-GB"/>
        </w:rPr>
        <w:t xml:space="preserve">and </w:t>
      </w:r>
    </w:p>
    <w:p w:rsidR="00D5105D" w:rsidRPr="001F6E19" w:rsidRDefault="00D5105D" w:rsidP="00D114DF">
      <w:pPr>
        <w:pStyle w:val="ListParagraph"/>
        <w:numPr>
          <w:ilvl w:val="0"/>
          <w:numId w:val="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characteristics and </w:t>
      </w:r>
      <w:r w:rsidR="005D70A4" w:rsidRPr="001F6E19">
        <w:rPr>
          <w:rFonts w:ascii="Arial" w:eastAsia="Times New Roman" w:hAnsi="Arial" w:cs="Arial"/>
          <w:lang w:eastAsia="en-GB"/>
        </w:rPr>
        <w:t xml:space="preserve">nature </w:t>
      </w:r>
      <w:r w:rsidRPr="001F6E19">
        <w:rPr>
          <w:rFonts w:ascii="Arial" w:eastAsia="Times New Roman" w:hAnsi="Arial" w:cs="Arial"/>
          <w:lang w:eastAsia="en-GB"/>
        </w:rPr>
        <w:t xml:space="preserve">of the </w:t>
      </w:r>
      <w:r w:rsidR="009C4A10">
        <w:rPr>
          <w:rFonts w:ascii="Arial" w:eastAsia="Times New Roman" w:hAnsi="Arial" w:cs="Arial"/>
          <w:lang w:eastAsia="en-GB"/>
        </w:rPr>
        <w:t>o</w:t>
      </w:r>
      <w:r w:rsidRPr="001F6E19">
        <w:rPr>
          <w:rFonts w:ascii="Arial" w:eastAsia="Times New Roman" w:hAnsi="Arial" w:cs="Arial"/>
          <w:lang w:eastAsia="en-GB"/>
        </w:rPr>
        <w:t xml:space="preserve">rder </w:t>
      </w:r>
      <w:r w:rsidR="005D70A4" w:rsidRPr="001F6E19">
        <w:rPr>
          <w:rFonts w:ascii="Arial" w:eastAsia="Times New Roman" w:hAnsi="Arial" w:cs="Arial"/>
          <w:lang w:eastAsia="en-GB"/>
        </w:rPr>
        <w:t xml:space="preserve">or any other consideration relevant to the execution of the </w:t>
      </w:r>
      <w:r w:rsidR="009C4A10">
        <w:rPr>
          <w:rFonts w:ascii="Arial" w:eastAsia="Times New Roman" w:hAnsi="Arial" w:cs="Arial"/>
          <w:lang w:eastAsia="en-GB"/>
        </w:rPr>
        <w:t>o</w:t>
      </w:r>
      <w:r w:rsidR="005D70A4" w:rsidRPr="001F6E19">
        <w:rPr>
          <w:rFonts w:ascii="Arial" w:eastAsia="Times New Roman" w:hAnsi="Arial" w:cs="Arial"/>
          <w:lang w:eastAsia="en-GB"/>
        </w:rPr>
        <w:t xml:space="preserve">rder. </w:t>
      </w:r>
    </w:p>
    <w:p w:rsidR="00D5105D" w:rsidRPr="001F6E19" w:rsidRDefault="00D5105D" w:rsidP="00D5105D">
      <w:pPr>
        <w:shd w:val="clear" w:color="auto" w:fill="FFFFFF"/>
        <w:spacing w:after="0" w:line="240" w:lineRule="auto"/>
        <w:rPr>
          <w:rFonts w:ascii="Arial" w:eastAsia="Times New Roman" w:hAnsi="Arial" w:cs="Arial"/>
          <w:lang w:eastAsia="en-GB"/>
        </w:rPr>
      </w:pPr>
    </w:p>
    <w:p w:rsidR="005D70A4" w:rsidRPr="001F6E19" w:rsidRDefault="00914395"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lastRenderedPageBreak/>
        <w:t>T</w:t>
      </w:r>
      <w:r w:rsidR="005D70A4" w:rsidRPr="001F6E19">
        <w:rPr>
          <w:rFonts w:ascii="Arial" w:eastAsia="Times New Roman" w:hAnsi="Arial" w:cs="Arial"/>
          <w:lang w:eastAsia="en-GB"/>
        </w:rPr>
        <w:t xml:space="preserve">he best possible result will be determined in terms of the total consideration, representing the price of the </w:t>
      </w:r>
      <w:r w:rsidR="001F7949">
        <w:rPr>
          <w:rFonts w:ascii="Arial" w:eastAsia="Times New Roman" w:hAnsi="Arial" w:cs="Arial"/>
          <w:lang w:eastAsia="en-GB"/>
        </w:rPr>
        <w:t>f</w:t>
      </w:r>
      <w:r w:rsidR="005D70A4" w:rsidRPr="001F6E19">
        <w:rPr>
          <w:rFonts w:ascii="Arial" w:eastAsia="Times New Roman" w:hAnsi="Arial" w:cs="Arial"/>
          <w:lang w:eastAsia="en-GB"/>
        </w:rPr>
        <w:t xml:space="preserve">inancial </w:t>
      </w:r>
      <w:r w:rsidR="009C4A10">
        <w:rPr>
          <w:rFonts w:ascii="Arial" w:eastAsia="Times New Roman" w:hAnsi="Arial" w:cs="Arial"/>
          <w:lang w:eastAsia="en-GB"/>
        </w:rPr>
        <w:t>i</w:t>
      </w:r>
      <w:r w:rsidR="005D70A4" w:rsidRPr="001F6E19">
        <w:rPr>
          <w:rFonts w:ascii="Arial" w:eastAsia="Times New Roman" w:hAnsi="Arial" w:cs="Arial"/>
          <w:lang w:eastAsia="en-GB"/>
        </w:rPr>
        <w:t>nstrument and the costs related to execution. Speed, likelihood of execution and</w:t>
      </w:r>
      <w:r w:rsidR="00D5105D" w:rsidRPr="001F6E19">
        <w:rPr>
          <w:rFonts w:ascii="Arial" w:eastAsia="Times New Roman" w:hAnsi="Arial" w:cs="Arial"/>
          <w:lang w:eastAsia="en-GB"/>
        </w:rPr>
        <w:t>/or</w:t>
      </w:r>
      <w:r w:rsidR="005D70A4" w:rsidRPr="001F6E19">
        <w:rPr>
          <w:rFonts w:ascii="Arial" w:eastAsia="Times New Roman" w:hAnsi="Arial" w:cs="Arial"/>
          <w:lang w:eastAsia="en-GB"/>
        </w:rPr>
        <w:t xml:space="preserve"> settlement, the size and nature of the order, market impact and any other implicit transaction costs will be given precedence over the immediate price and cost consideration only insofar as they are instrumental in delivering the best possible result in terms of the total consideration to you.</w:t>
      </w:r>
    </w:p>
    <w:p w:rsidR="00F92D43" w:rsidRPr="001F6E19" w:rsidRDefault="00F92D43" w:rsidP="005D70A4">
      <w:pPr>
        <w:shd w:val="clear" w:color="auto" w:fill="FFFFFF"/>
        <w:spacing w:after="0" w:line="240" w:lineRule="auto"/>
        <w:rPr>
          <w:rFonts w:ascii="Arial" w:eastAsia="Times New Roman" w:hAnsi="Arial" w:cs="Arial"/>
          <w:lang w:eastAsia="en-GB"/>
        </w:rPr>
      </w:pPr>
    </w:p>
    <w:p w:rsidR="005D70A4" w:rsidRPr="001F6E19" w:rsidRDefault="00162FAB"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More detail concerning the execution factors considered by the Company are set out in </w:t>
      </w:r>
      <w:r w:rsidR="00E764CE" w:rsidRPr="001F6E19">
        <w:rPr>
          <w:rFonts w:ascii="Arial" w:eastAsia="Times New Roman" w:hAnsi="Arial" w:cs="Arial"/>
          <w:lang w:eastAsia="en-GB"/>
        </w:rPr>
        <w:t>Annex 1.</w:t>
      </w:r>
      <w:r w:rsidR="005D70A4" w:rsidRPr="001F6E19">
        <w:rPr>
          <w:rFonts w:ascii="Arial" w:eastAsia="Times New Roman" w:hAnsi="Arial" w:cs="Arial"/>
          <w:lang w:eastAsia="en-GB"/>
        </w:rPr>
        <w:t> </w:t>
      </w:r>
    </w:p>
    <w:p w:rsidR="004D1B1B" w:rsidRPr="001F6E19" w:rsidRDefault="004D1B1B" w:rsidP="005D70A4">
      <w:pPr>
        <w:shd w:val="clear" w:color="auto" w:fill="FFFFFF"/>
        <w:spacing w:after="0" w:line="240" w:lineRule="auto"/>
        <w:rPr>
          <w:rFonts w:ascii="Arial" w:eastAsia="Times New Roman" w:hAnsi="Arial" w:cs="Arial"/>
          <w:lang w:eastAsia="en-GB"/>
        </w:rPr>
      </w:pPr>
    </w:p>
    <w:p w:rsidR="005029D4" w:rsidRPr="00D44390" w:rsidRDefault="005029D4" w:rsidP="005029D4">
      <w:pPr>
        <w:shd w:val="clear" w:color="auto" w:fill="FFFFFF"/>
        <w:spacing w:after="0" w:line="240" w:lineRule="auto"/>
        <w:rPr>
          <w:rFonts w:ascii="Arial" w:eastAsia="Times New Roman" w:hAnsi="Arial" w:cs="Arial"/>
          <w:b/>
          <w:lang w:eastAsia="en-GB"/>
        </w:rPr>
      </w:pPr>
      <w:r w:rsidRPr="00D44390">
        <w:rPr>
          <w:rFonts w:ascii="Arial" w:eastAsia="Times New Roman" w:hAnsi="Arial" w:cs="Arial"/>
          <w:b/>
          <w:lang w:eastAsia="en-GB"/>
        </w:rPr>
        <w:t>4</w:t>
      </w:r>
      <w:r w:rsidRPr="00D44390">
        <w:rPr>
          <w:rFonts w:ascii="Arial" w:eastAsia="Times New Roman" w:hAnsi="Arial" w:cs="Arial"/>
          <w:b/>
          <w:lang w:eastAsia="en-GB"/>
        </w:rPr>
        <w:tab/>
        <w:t>Data classification</w:t>
      </w:r>
    </w:p>
    <w:p w:rsidR="005029D4" w:rsidRPr="00D44390" w:rsidRDefault="005029D4" w:rsidP="005029D4">
      <w:pPr>
        <w:shd w:val="clear" w:color="auto" w:fill="FFFFFF"/>
        <w:spacing w:after="0" w:line="240" w:lineRule="auto"/>
        <w:rPr>
          <w:rFonts w:ascii="Arial" w:eastAsia="Times New Roman" w:hAnsi="Arial" w:cs="Arial"/>
          <w:lang w:eastAsia="en-GB"/>
        </w:rPr>
      </w:pPr>
    </w:p>
    <w:p w:rsidR="005029D4" w:rsidRPr="00D44390" w:rsidRDefault="005029D4" w:rsidP="005D70A4">
      <w:pPr>
        <w:shd w:val="clear" w:color="auto" w:fill="FFFFFF"/>
        <w:spacing w:after="0" w:line="240" w:lineRule="auto"/>
        <w:rPr>
          <w:rFonts w:ascii="Arial" w:hAnsi="Arial" w:cs="Arial"/>
          <w:bCs/>
          <w:lang w:val="en"/>
        </w:rPr>
      </w:pPr>
      <w:r w:rsidRPr="00D44390">
        <w:rPr>
          <w:rFonts w:ascii="Arial" w:eastAsia="Times New Roman" w:hAnsi="Arial" w:cs="Arial"/>
          <w:lang w:eastAsia="en-GB"/>
        </w:rPr>
        <w:t xml:space="preserve">As noted in section 1, there are two different client categories to whom we owe best execution, and hence whose business will be contained within this regulatory report, namely </w:t>
      </w:r>
      <w:r w:rsidRPr="00D44390">
        <w:rPr>
          <w:rFonts w:ascii="Arial" w:hAnsi="Arial" w:cs="Arial"/>
          <w:bCs/>
          <w:lang w:val="en"/>
        </w:rPr>
        <w:t>retail and professional clients</w:t>
      </w:r>
      <w:r w:rsidRPr="00D44390">
        <w:rPr>
          <w:rFonts w:ascii="Arial" w:eastAsia="Times New Roman" w:hAnsi="Arial" w:cs="Arial"/>
          <w:lang w:eastAsia="en-GB"/>
        </w:rPr>
        <w:t xml:space="preserve">.  This report is broken down into </w:t>
      </w:r>
      <w:r w:rsidRPr="00D44390">
        <w:rPr>
          <w:rFonts w:ascii="Arial" w:hAnsi="Arial" w:cs="Arial"/>
          <w:bCs/>
          <w:lang w:val="en"/>
        </w:rPr>
        <w:t xml:space="preserve">retail and professional clients as outlined in the regulations.  </w:t>
      </w:r>
      <w:r w:rsidR="00016250" w:rsidRPr="00D44390">
        <w:rPr>
          <w:rFonts w:ascii="Arial" w:hAnsi="Arial" w:cs="Arial"/>
          <w:bCs/>
          <w:lang w:val="en"/>
        </w:rPr>
        <w:t>The category of client has no bearing on how we execute a client order unless the client requests that we follow any specific instruction.</w:t>
      </w:r>
    </w:p>
    <w:p w:rsidR="005029D4" w:rsidRPr="00D44390" w:rsidRDefault="005029D4" w:rsidP="005D70A4">
      <w:pPr>
        <w:shd w:val="clear" w:color="auto" w:fill="FFFFFF"/>
        <w:spacing w:after="0" w:line="240" w:lineRule="auto"/>
        <w:rPr>
          <w:rFonts w:ascii="Arial" w:hAnsi="Arial" w:cs="Arial"/>
          <w:bCs/>
          <w:lang w:val="en"/>
        </w:rPr>
      </w:pPr>
    </w:p>
    <w:p w:rsidR="00A651FA" w:rsidRPr="00D44390" w:rsidRDefault="005029D4" w:rsidP="005D70A4">
      <w:pPr>
        <w:shd w:val="clear" w:color="auto" w:fill="FFFFFF"/>
        <w:spacing w:after="0" w:line="240" w:lineRule="auto"/>
        <w:rPr>
          <w:rFonts w:ascii="Arial" w:hAnsi="Arial" w:cs="Arial"/>
          <w:bCs/>
          <w:lang w:val="en"/>
        </w:rPr>
      </w:pPr>
      <w:r w:rsidRPr="00D44390">
        <w:rPr>
          <w:rFonts w:ascii="Arial" w:hAnsi="Arial" w:cs="Arial"/>
          <w:bCs/>
          <w:lang w:val="en"/>
        </w:rPr>
        <w:t>The regulations require the report to be broken down into 22 different asse</w:t>
      </w:r>
      <w:r w:rsidR="00D10483" w:rsidRPr="00D44390">
        <w:rPr>
          <w:rFonts w:ascii="Arial" w:hAnsi="Arial" w:cs="Arial"/>
          <w:bCs/>
          <w:lang w:val="en"/>
        </w:rPr>
        <w:t xml:space="preserve">t classes.  However, during </w:t>
      </w:r>
      <w:r w:rsidR="00933F98">
        <w:rPr>
          <w:rFonts w:ascii="Arial" w:hAnsi="Arial" w:cs="Arial"/>
          <w:bCs/>
          <w:lang w:val="en"/>
        </w:rPr>
        <w:t>2020</w:t>
      </w:r>
      <w:r w:rsidRPr="00D44390">
        <w:rPr>
          <w:rFonts w:ascii="Arial" w:hAnsi="Arial" w:cs="Arial"/>
          <w:bCs/>
          <w:lang w:val="en"/>
        </w:rPr>
        <w:t xml:space="preserve">, we only traded </w:t>
      </w:r>
      <w:r w:rsidR="00D8104F" w:rsidRPr="00D44390">
        <w:rPr>
          <w:rFonts w:ascii="Arial" w:hAnsi="Arial" w:cs="Arial"/>
          <w:bCs/>
          <w:lang w:val="en"/>
        </w:rPr>
        <w:t xml:space="preserve">the following asset classes and </w:t>
      </w:r>
      <w:r w:rsidRPr="00D44390">
        <w:rPr>
          <w:rFonts w:ascii="Arial" w:hAnsi="Arial" w:cs="Arial"/>
          <w:bCs/>
          <w:lang w:val="en"/>
        </w:rPr>
        <w:t>th</w:t>
      </w:r>
      <w:r w:rsidR="00D8104F" w:rsidRPr="00D44390">
        <w:rPr>
          <w:rFonts w:ascii="Arial" w:hAnsi="Arial" w:cs="Arial"/>
          <w:bCs/>
          <w:lang w:val="en"/>
        </w:rPr>
        <w:t>erefore our report only covers these asset classes:</w:t>
      </w:r>
    </w:p>
    <w:p w:rsidR="00D8104F" w:rsidRPr="00D44390" w:rsidRDefault="00D8104F" w:rsidP="005D70A4">
      <w:pPr>
        <w:shd w:val="clear" w:color="auto" w:fill="FFFFFF"/>
        <w:spacing w:after="0" w:line="240" w:lineRule="auto"/>
        <w:rPr>
          <w:rFonts w:ascii="Arial" w:hAnsi="Arial" w:cs="Arial"/>
          <w:bCs/>
          <w:lang w:val="en"/>
        </w:rPr>
      </w:pPr>
    </w:p>
    <w:p w:rsidR="00D8104F" w:rsidRPr="00D44390" w:rsidRDefault="00D8104F" w:rsidP="00D8104F">
      <w:pPr>
        <w:pStyle w:val="ListParagraph"/>
        <w:numPr>
          <w:ilvl w:val="0"/>
          <w:numId w:val="10"/>
        </w:numPr>
        <w:shd w:val="clear" w:color="auto" w:fill="FFFFFF"/>
        <w:spacing w:after="0" w:line="240" w:lineRule="auto"/>
        <w:ind w:left="1560"/>
        <w:rPr>
          <w:rFonts w:ascii="Arial" w:hAnsi="Arial" w:cs="Arial"/>
          <w:bCs/>
          <w:lang w:val="en"/>
        </w:rPr>
      </w:pPr>
      <w:r w:rsidRPr="00D44390">
        <w:rPr>
          <w:rFonts w:ascii="Arial" w:hAnsi="Arial" w:cs="Arial"/>
          <w:bCs/>
          <w:lang w:val="en"/>
        </w:rPr>
        <w:t>Equities – Sh</w:t>
      </w:r>
      <w:r w:rsidR="00D64C49" w:rsidRPr="00D44390">
        <w:rPr>
          <w:rFonts w:ascii="Arial" w:hAnsi="Arial" w:cs="Arial"/>
          <w:bCs/>
          <w:lang w:val="en"/>
        </w:rPr>
        <w:t>ares and Depositary Receipts (note the comment in Section 5 below concerning Liquidity Tick bands)</w:t>
      </w:r>
    </w:p>
    <w:p w:rsidR="00D8104F" w:rsidRPr="00D44390" w:rsidRDefault="00D8104F" w:rsidP="00D8104F">
      <w:pPr>
        <w:pStyle w:val="ListParagraph"/>
        <w:numPr>
          <w:ilvl w:val="0"/>
          <w:numId w:val="10"/>
        </w:numPr>
        <w:shd w:val="clear" w:color="auto" w:fill="FFFFFF"/>
        <w:spacing w:after="0" w:line="240" w:lineRule="auto"/>
        <w:ind w:left="1560"/>
        <w:rPr>
          <w:rFonts w:ascii="Arial" w:hAnsi="Arial" w:cs="Arial"/>
          <w:bCs/>
          <w:lang w:val="en"/>
        </w:rPr>
      </w:pPr>
      <w:r w:rsidRPr="00D44390">
        <w:rPr>
          <w:rFonts w:ascii="Arial" w:hAnsi="Arial" w:cs="Arial"/>
          <w:bCs/>
          <w:lang w:val="en"/>
        </w:rPr>
        <w:t>Interest Rate Derivatives – Futures and options admitted to trading on a trading venue</w:t>
      </w:r>
    </w:p>
    <w:p w:rsidR="00D8104F" w:rsidRPr="00D44390" w:rsidRDefault="00D8104F" w:rsidP="00D8104F">
      <w:pPr>
        <w:pStyle w:val="ListParagraph"/>
        <w:numPr>
          <w:ilvl w:val="0"/>
          <w:numId w:val="10"/>
        </w:numPr>
        <w:shd w:val="clear" w:color="auto" w:fill="FFFFFF"/>
        <w:spacing w:after="0" w:line="240" w:lineRule="auto"/>
        <w:ind w:left="1560"/>
        <w:rPr>
          <w:rFonts w:ascii="Arial" w:hAnsi="Arial" w:cs="Arial"/>
          <w:bCs/>
          <w:lang w:val="en"/>
        </w:rPr>
      </w:pPr>
      <w:r w:rsidRPr="00D44390">
        <w:rPr>
          <w:rFonts w:ascii="Arial" w:hAnsi="Arial" w:cs="Arial"/>
          <w:bCs/>
          <w:lang w:val="en"/>
        </w:rPr>
        <w:t>Currency Derivatives – Futures and options admitted to trading on a trading venue</w:t>
      </w:r>
    </w:p>
    <w:p w:rsidR="00D8104F" w:rsidRPr="00D44390" w:rsidRDefault="00D8104F" w:rsidP="00D8104F">
      <w:pPr>
        <w:pStyle w:val="ListParagraph"/>
        <w:numPr>
          <w:ilvl w:val="0"/>
          <w:numId w:val="10"/>
        </w:numPr>
        <w:shd w:val="clear" w:color="auto" w:fill="FFFFFF"/>
        <w:spacing w:after="0" w:line="240" w:lineRule="auto"/>
        <w:ind w:left="1560"/>
        <w:rPr>
          <w:rFonts w:ascii="Arial" w:hAnsi="Arial" w:cs="Arial"/>
          <w:bCs/>
          <w:lang w:val="en"/>
        </w:rPr>
      </w:pPr>
      <w:r w:rsidRPr="00D44390">
        <w:rPr>
          <w:rFonts w:ascii="Arial" w:hAnsi="Arial" w:cs="Arial"/>
          <w:bCs/>
          <w:lang w:val="en"/>
        </w:rPr>
        <w:t>Equity Derivatives – Options and futures admitted to trading on a trading venue</w:t>
      </w:r>
    </w:p>
    <w:p w:rsidR="00D8104F" w:rsidRPr="00D44390" w:rsidRDefault="00D8104F" w:rsidP="00D8104F">
      <w:pPr>
        <w:pStyle w:val="ListParagraph"/>
        <w:numPr>
          <w:ilvl w:val="0"/>
          <w:numId w:val="10"/>
        </w:numPr>
        <w:shd w:val="clear" w:color="auto" w:fill="FFFFFF"/>
        <w:spacing w:after="0" w:line="240" w:lineRule="auto"/>
        <w:ind w:left="1560"/>
        <w:rPr>
          <w:rFonts w:ascii="Arial" w:hAnsi="Arial" w:cs="Arial"/>
          <w:bCs/>
          <w:lang w:val="en"/>
        </w:rPr>
      </w:pPr>
      <w:r w:rsidRPr="00D44390">
        <w:rPr>
          <w:rFonts w:ascii="Arial" w:hAnsi="Arial" w:cs="Arial"/>
          <w:bCs/>
          <w:lang w:val="en"/>
        </w:rPr>
        <w:t>Commodity Derivatives – Futures and options admitted to trading on a trading venue</w:t>
      </w:r>
    </w:p>
    <w:p w:rsidR="00D8104F" w:rsidRPr="00D44390" w:rsidRDefault="00D8104F" w:rsidP="005D70A4">
      <w:pPr>
        <w:shd w:val="clear" w:color="auto" w:fill="FFFFFF"/>
        <w:spacing w:after="0" w:line="240" w:lineRule="auto"/>
        <w:rPr>
          <w:rFonts w:ascii="Arial" w:hAnsi="Arial" w:cs="Arial"/>
          <w:bCs/>
          <w:lang w:val="en"/>
        </w:rPr>
      </w:pPr>
    </w:p>
    <w:p w:rsidR="005029D4" w:rsidRPr="00D44390" w:rsidRDefault="005029D4" w:rsidP="005D70A4">
      <w:pPr>
        <w:shd w:val="clear" w:color="auto" w:fill="FFFFFF"/>
        <w:spacing w:after="0" w:line="240" w:lineRule="auto"/>
        <w:rPr>
          <w:rFonts w:ascii="Arial" w:hAnsi="Arial" w:cs="Arial"/>
          <w:bCs/>
          <w:lang w:val="en"/>
        </w:rPr>
      </w:pPr>
    </w:p>
    <w:p w:rsidR="005029D4" w:rsidRPr="00D44390" w:rsidRDefault="005029D4" w:rsidP="005E00C5">
      <w:pPr>
        <w:pStyle w:val="ListParagraph"/>
        <w:numPr>
          <w:ilvl w:val="0"/>
          <w:numId w:val="13"/>
        </w:numPr>
        <w:shd w:val="clear" w:color="auto" w:fill="FFFFFF"/>
        <w:spacing w:after="0" w:line="240" w:lineRule="auto"/>
        <w:ind w:hanging="720"/>
        <w:rPr>
          <w:rFonts w:ascii="Arial" w:hAnsi="Arial" w:cs="Arial"/>
          <w:b/>
          <w:bCs/>
          <w:lang w:val="en"/>
        </w:rPr>
      </w:pPr>
      <w:r w:rsidRPr="00D44390">
        <w:rPr>
          <w:rFonts w:ascii="Arial" w:hAnsi="Arial" w:cs="Arial"/>
          <w:b/>
          <w:bCs/>
          <w:lang w:val="en"/>
        </w:rPr>
        <w:t>Data quality</w:t>
      </w:r>
    </w:p>
    <w:p w:rsidR="004E4A78" w:rsidRPr="00D44390" w:rsidRDefault="004E4A78" w:rsidP="005D70A4">
      <w:pPr>
        <w:shd w:val="clear" w:color="auto" w:fill="FFFFFF"/>
        <w:spacing w:after="0" w:line="240" w:lineRule="auto"/>
        <w:rPr>
          <w:rFonts w:ascii="Arial" w:hAnsi="Arial" w:cs="Arial"/>
          <w:b/>
          <w:bCs/>
          <w:lang w:val="en"/>
        </w:rPr>
      </w:pPr>
    </w:p>
    <w:p w:rsidR="00D64C49" w:rsidRPr="00D44390" w:rsidRDefault="00CF425A" w:rsidP="005D70A4">
      <w:pPr>
        <w:shd w:val="clear" w:color="auto" w:fill="FFFFFF"/>
        <w:spacing w:after="0" w:line="240" w:lineRule="auto"/>
        <w:rPr>
          <w:rFonts w:ascii="Arial" w:hAnsi="Arial" w:cs="Arial"/>
          <w:bCs/>
          <w:lang w:val="en"/>
        </w:rPr>
      </w:pPr>
      <w:r w:rsidRPr="00D44390">
        <w:rPr>
          <w:rFonts w:ascii="Arial" w:hAnsi="Arial" w:cs="Arial"/>
          <w:bCs/>
          <w:lang w:val="en"/>
        </w:rPr>
        <w:t xml:space="preserve">Due to the limited </w:t>
      </w:r>
      <w:r w:rsidR="00106968" w:rsidRPr="00D44390">
        <w:rPr>
          <w:rFonts w:ascii="Arial" w:hAnsi="Arial" w:cs="Arial"/>
          <w:bCs/>
          <w:lang w:val="en"/>
        </w:rPr>
        <w:t>nature of our brokerage of E</w:t>
      </w:r>
      <w:r w:rsidRPr="00D44390">
        <w:rPr>
          <w:rFonts w:ascii="Arial" w:hAnsi="Arial" w:cs="Arial"/>
          <w:bCs/>
          <w:lang w:val="en"/>
        </w:rPr>
        <w:t>quities, w</w:t>
      </w:r>
      <w:r w:rsidR="00D64C49" w:rsidRPr="00D44390">
        <w:rPr>
          <w:rFonts w:ascii="Arial" w:hAnsi="Arial" w:cs="Arial"/>
          <w:bCs/>
          <w:lang w:val="en"/>
        </w:rPr>
        <w:t xml:space="preserve">e are unable to </w:t>
      </w:r>
      <w:proofErr w:type="spellStart"/>
      <w:r w:rsidR="00D64C49" w:rsidRPr="00D44390">
        <w:rPr>
          <w:rFonts w:ascii="Arial" w:hAnsi="Arial" w:cs="Arial"/>
          <w:bCs/>
          <w:lang w:val="en"/>
        </w:rPr>
        <w:t>analyse</w:t>
      </w:r>
      <w:proofErr w:type="spellEnd"/>
      <w:r w:rsidR="00D64C49" w:rsidRPr="00D44390">
        <w:rPr>
          <w:rFonts w:ascii="Arial" w:hAnsi="Arial" w:cs="Arial"/>
          <w:bCs/>
          <w:lang w:val="en"/>
        </w:rPr>
        <w:t xml:space="preserve"> our Equities trades by the three Liquidity Tick Bands.</w:t>
      </w:r>
    </w:p>
    <w:p w:rsidR="005029D4" w:rsidRPr="00D44390" w:rsidRDefault="005029D4" w:rsidP="005D70A4">
      <w:pPr>
        <w:shd w:val="clear" w:color="auto" w:fill="FFFFFF"/>
        <w:spacing w:after="0" w:line="240" w:lineRule="auto"/>
        <w:rPr>
          <w:rFonts w:ascii="Arial" w:eastAsia="Times New Roman" w:hAnsi="Arial" w:cs="Arial"/>
          <w:lang w:eastAsia="en-GB"/>
        </w:rPr>
      </w:pPr>
    </w:p>
    <w:p w:rsidR="00A651FA" w:rsidRPr="001F6E19" w:rsidRDefault="00A651FA" w:rsidP="005D70A4">
      <w:pPr>
        <w:shd w:val="clear" w:color="auto" w:fill="FFFFFF"/>
        <w:spacing w:after="0" w:line="240" w:lineRule="auto"/>
        <w:rPr>
          <w:rFonts w:ascii="Arial" w:eastAsia="Times New Roman" w:hAnsi="Arial" w:cs="Arial"/>
          <w:lang w:eastAsia="en-GB"/>
        </w:rPr>
      </w:pPr>
    </w:p>
    <w:p w:rsidR="00967E61" w:rsidRPr="001F6E19" w:rsidRDefault="00967E61" w:rsidP="005D70A4">
      <w:pPr>
        <w:shd w:val="clear" w:color="auto" w:fill="FFFFFF"/>
        <w:spacing w:after="0" w:line="240" w:lineRule="auto"/>
        <w:rPr>
          <w:rFonts w:ascii="Arial" w:eastAsia="Times New Roman" w:hAnsi="Arial" w:cs="Arial"/>
          <w:b/>
          <w:lang w:eastAsia="en-GB"/>
        </w:rPr>
      </w:pPr>
      <w:r w:rsidRPr="001F6E19">
        <w:rPr>
          <w:rFonts w:ascii="Arial" w:eastAsia="Times New Roman" w:hAnsi="Arial" w:cs="Arial"/>
          <w:b/>
          <w:lang w:eastAsia="en-GB"/>
        </w:rPr>
        <w:t>6</w:t>
      </w:r>
      <w:r w:rsidRPr="001F6E19">
        <w:rPr>
          <w:rFonts w:ascii="Arial" w:eastAsia="Times New Roman" w:hAnsi="Arial" w:cs="Arial"/>
          <w:b/>
          <w:lang w:eastAsia="en-GB"/>
        </w:rPr>
        <w:tab/>
        <w:t>Summary of observations</w:t>
      </w:r>
    </w:p>
    <w:p w:rsidR="00D8104F" w:rsidRPr="001F6E19" w:rsidRDefault="00D8104F" w:rsidP="005D70A4">
      <w:pPr>
        <w:shd w:val="clear" w:color="auto" w:fill="FFFFFF"/>
        <w:spacing w:after="0" w:line="240" w:lineRule="auto"/>
        <w:rPr>
          <w:rFonts w:ascii="Arial" w:eastAsia="Times New Roman" w:hAnsi="Arial" w:cs="Arial"/>
          <w:b/>
          <w:lang w:eastAsia="en-GB"/>
        </w:rPr>
      </w:pPr>
    </w:p>
    <w:p w:rsidR="00D8104F" w:rsidRPr="00D44390" w:rsidRDefault="00D8104F" w:rsidP="00D8104F">
      <w:pPr>
        <w:shd w:val="clear" w:color="auto" w:fill="FFFFFF"/>
        <w:spacing w:after="0" w:line="240" w:lineRule="auto"/>
        <w:rPr>
          <w:rFonts w:ascii="Arial" w:hAnsi="Arial" w:cs="Arial"/>
          <w:bCs/>
          <w:lang w:val="en"/>
        </w:rPr>
      </w:pPr>
      <w:r w:rsidRPr="00D44390">
        <w:rPr>
          <w:rFonts w:ascii="Arial" w:hAnsi="Arial" w:cs="Arial"/>
          <w:bCs/>
          <w:lang w:val="en"/>
        </w:rPr>
        <w:t>The majority of business we execute are Equity Derivatives – Options and futures admitted to trading on a trading venue.  This is made up as follows:</w:t>
      </w:r>
    </w:p>
    <w:p w:rsidR="00D8104F" w:rsidRPr="00D44390" w:rsidRDefault="00D8104F" w:rsidP="00D8104F">
      <w:pPr>
        <w:shd w:val="clear" w:color="auto" w:fill="FFFFFF"/>
        <w:spacing w:after="0" w:line="240" w:lineRule="auto"/>
        <w:rPr>
          <w:rFonts w:ascii="Arial" w:hAnsi="Arial" w:cs="Arial"/>
          <w:bCs/>
          <w:lang w:val="en"/>
        </w:rPr>
      </w:pPr>
    </w:p>
    <w:p w:rsidR="00D8104F" w:rsidRPr="001F6E19" w:rsidRDefault="00967E61" w:rsidP="005D70A4">
      <w:pPr>
        <w:pStyle w:val="ListParagraph"/>
        <w:numPr>
          <w:ilvl w:val="0"/>
          <w:numId w:val="1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 xml:space="preserve">Our </w:t>
      </w:r>
      <w:r w:rsidR="00DA757F" w:rsidRPr="001F6E19">
        <w:rPr>
          <w:rFonts w:ascii="Arial" w:eastAsia="Times New Roman" w:hAnsi="Arial" w:cs="Arial"/>
          <w:lang w:eastAsia="en-GB"/>
        </w:rPr>
        <w:t xml:space="preserve">retail </w:t>
      </w:r>
      <w:r w:rsidRPr="001F6E19">
        <w:rPr>
          <w:rFonts w:ascii="Arial" w:eastAsia="Times New Roman" w:hAnsi="Arial" w:cs="Arial"/>
          <w:lang w:eastAsia="en-GB"/>
        </w:rPr>
        <w:t xml:space="preserve">client base is predominantly </w:t>
      </w:r>
      <w:r w:rsidR="00770EB4" w:rsidRPr="001F6E19">
        <w:rPr>
          <w:rFonts w:ascii="Arial" w:eastAsia="Times New Roman" w:hAnsi="Arial" w:cs="Arial"/>
          <w:lang w:eastAsia="en-GB"/>
        </w:rPr>
        <w:t>foreign private investors</w:t>
      </w:r>
      <w:r w:rsidR="00152FD3" w:rsidRPr="001F6E19">
        <w:rPr>
          <w:rFonts w:ascii="Arial" w:eastAsia="Times New Roman" w:hAnsi="Arial" w:cs="Arial"/>
          <w:lang w:eastAsia="en-GB"/>
        </w:rPr>
        <w:t xml:space="preserve"> i</w:t>
      </w:r>
      <w:r w:rsidR="00D8104F" w:rsidRPr="001F6E19">
        <w:rPr>
          <w:rFonts w:ascii="Arial" w:eastAsia="Times New Roman" w:hAnsi="Arial" w:cs="Arial"/>
          <w:lang w:eastAsia="en-GB"/>
        </w:rPr>
        <w:t xml:space="preserve">nvesting in US stock options.  This business is </w:t>
      </w:r>
      <w:r w:rsidR="00215AD2" w:rsidRPr="001F6E19">
        <w:rPr>
          <w:rFonts w:ascii="Arial" w:eastAsia="Times New Roman" w:hAnsi="Arial" w:cs="Arial"/>
          <w:lang w:eastAsia="en-GB"/>
        </w:rPr>
        <w:t>transmitted</w:t>
      </w:r>
      <w:r w:rsidR="00D10483" w:rsidRPr="001F6E19">
        <w:rPr>
          <w:rFonts w:ascii="Arial" w:eastAsia="Times New Roman" w:hAnsi="Arial" w:cs="Arial"/>
          <w:lang w:eastAsia="en-GB"/>
        </w:rPr>
        <w:t xml:space="preserve"> through</w:t>
      </w:r>
      <w:r w:rsidR="00D8104F" w:rsidRPr="001F6E19">
        <w:rPr>
          <w:rFonts w:ascii="Arial" w:eastAsia="Times New Roman" w:hAnsi="Arial" w:cs="Arial"/>
          <w:lang w:eastAsia="en-GB"/>
        </w:rPr>
        <w:t xml:space="preserve"> </w:t>
      </w:r>
      <w:r w:rsidR="00933F98">
        <w:rPr>
          <w:rFonts w:ascii="Arial" w:eastAsia="Times New Roman" w:hAnsi="Arial" w:cs="Arial"/>
          <w:lang w:eastAsia="en-GB"/>
        </w:rPr>
        <w:t xml:space="preserve">an </w:t>
      </w:r>
      <w:r w:rsidR="00D10483" w:rsidRPr="001F6E19">
        <w:rPr>
          <w:rFonts w:ascii="Arial" w:eastAsia="Times New Roman" w:hAnsi="Arial" w:cs="Arial"/>
          <w:lang w:eastAsia="en-GB"/>
        </w:rPr>
        <w:t>execution platform which uses a smart order router</w:t>
      </w:r>
      <w:r w:rsidR="00D8104F" w:rsidRPr="001F6E19">
        <w:rPr>
          <w:rFonts w:ascii="Arial" w:eastAsia="Times New Roman" w:hAnsi="Arial" w:cs="Arial"/>
          <w:lang w:eastAsia="en-GB"/>
        </w:rPr>
        <w:t xml:space="preserve"> algorithm to determine the best execution venue.</w:t>
      </w:r>
    </w:p>
    <w:p w:rsidR="00DA757F" w:rsidRPr="001F6E19" w:rsidRDefault="00DA757F" w:rsidP="005D70A4">
      <w:pPr>
        <w:pStyle w:val="ListParagraph"/>
        <w:numPr>
          <w:ilvl w:val="0"/>
          <w:numId w:val="11"/>
        </w:num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Our professional client base is predominantly UK clients investing in UK stock options.</w:t>
      </w:r>
      <w:r w:rsidR="00D8104F" w:rsidRPr="001F6E19">
        <w:rPr>
          <w:rFonts w:ascii="Arial" w:eastAsia="Times New Roman" w:hAnsi="Arial" w:cs="Arial"/>
          <w:lang w:eastAsia="en-GB"/>
        </w:rPr>
        <w:t xml:space="preserve">  This business is executed via a</w:t>
      </w:r>
      <w:r w:rsidR="00215AD2" w:rsidRPr="001F6E19">
        <w:rPr>
          <w:rFonts w:ascii="Arial" w:eastAsia="Times New Roman" w:hAnsi="Arial" w:cs="Arial"/>
          <w:lang w:eastAsia="en-GB"/>
        </w:rPr>
        <w:t xml:space="preserve"> clearing member of the exchange </w:t>
      </w:r>
      <w:r w:rsidR="00D10483" w:rsidRPr="001F6E19">
        <w:rPr>
          <w:rFonts w:ascii="Arial" w:eastAsia="Times New Roman" w:hAnsi="Arial" w:cs="Arial"/>
          <w:lang w:eastAsia="en-GB"/>
        </w:rPr>
        <w:t>which offers these products, ICE</w:t>
      </w:r>
      <w:r w:rsidR="00215AD2" w:rsidRPr="001F6E19">
        <w:rPr>
          <w:rFonts w:ascii="Arial" w:eastAsia="Times New Roman" w:hAnsi="Arial" w:cs="Arial"/>
          <w:lang w:eastAsia="en-GB"/>
        </w:rPr>
        <w:t xml:space="preserve"> Futures Europe.</w:t>
      </w:r>
    </w:p>
    <w:p w:rsidR="00DA757F" w:rsidRPr="001F6E19" w:rsidRDefault="00DA757F" w:rsidP="005D70A4">
      <w:pPr>
        <w:shd w:val="clear" w:color="auto" w:fill="FFFFFF"/>
        <w:spacing w:after="0" w:line="240" w:lineRule="auto"/>
        <w:rPr>
          <w:rFonts w:ascii="Arial" w:eastAsia="Times New Roman" w:hAnsi="Arial" w:cs="Arial"/>
          <w:lang w:eastAsia="en-GB"/>
        </w:rPr>
      </w:pPr>
    </w:p>
    <w:p w:rsidR="00D64C49" w:rsidRDefault="00EA0535" w:rsidP="005D70A4">
      <w:pPr>
        <w:shd w:val="clear" w:color="auto" w:fill="FFFFFF"/>
        <w:spacing w:after="0" w:line="240" w:lineRule="auto"/>
        <w:rPr>
          <w:rFonts w:ascii="Arial" w:hAnsi="Arial" w:cs="Arial"/>
        </w:rPr>
      </w:pPr>
      <w:r w:rsidRPr="001F6E19">
        <w:rPr>
          <w:rFonts w:ascii="Arial" w:eastAsia="Times New Roman" w:hAnsi="Arial" w:cs="Arial"/>
          <w:lang w:eastAsia="en-GB"/>
        </w:rPr>
        <w:lastRenderedPageBreak/>
        <w:t xml:space="preserve">The firm also executes a limited </w:t>
      </w:r>
      <w:r w:rsidR="005A72F4" w:rsidRPr="001F6E19">
        <w:rPr>
          <w:rFonts w:ascii="Arial" w:eastAsia="Times New Roman" w:hAnsi="Arial" w:cs="Arial"/>
          <w:lang w:eastAsia="en-GB"/>
        </w:rPr>
        <w:t xml:space="preserve">quantity </w:t>
      </w:r>
      <w:r w:rsidRPr="001F6E19">
        <w:rPr>
          <w:rFonts w:ascii="Arial" w:eastAsia="Times New Roman" w:hAnsi="Arial" w:cs="Arial"/>
          <w:lang w:eastAsia="en-GB"/>
        </w:rPr>
        <w:t xml:space="preserve">of orders in equities.  In the case of UK equities, these were executed through </w:t>
      </w:r>
      <w:proofErr w:type="spellStart"/>
      <w:r w:rsidRPr="00D44390">
        <w:rPr>
          <w:rFonts w:ascii="Arial" w:hAnsi="Arial" w:cs="Arial"/>
        </w:rPr>
        <w:t>Winterflood</w:t>
      </w:r>
      <w:proofErr w:type="spellEnd"/>
      <w:r w:rsidRPr="00D44390">
        <w:rPr>
          <w:rFonts w:ascii="Arial" w:hAnsi="Arial" w:cs="Arial"/>
        </w:rPr>
        <w:t xml:space="preserve"> Securities Limited, as reflected in Annex 2 of this report.</w:t>
      </w:r>
      <w:r w:rsidR="00D44390" w:rsidRPr="00D44390">
        <w:rPr>
          <w:rFonts w:ascii="Arial" w:hAnsi="Arial" w:cs="Arial"/>
        </w:rPr>
        <w:t xml:space="preserve">  Occasionally, we may execute orders in equities through a different execution venue. </w:t>
      </w:r>
    </w:p>
    <w:p w:rsidR="001F6E19" w:rsidRPr="001F6E19" w:rsidRDefault="001F6E19" w:rsidP="005D70A4">
      <w:pPr>
        <w:shd w:val="clear" w:color="auto" w:fill="FFFFFF"/>
        <w:spacing w:after="0" w:line="240" w:lineRule="auto"/>
        <w:rPr>
          <w:rFonts w:ascii="Arial" w:eastAsia="Times New Roman" w:hAnsi="Arial" w:cs="Arial"/>
          <w:lang w:eastAsia="en-GB"/>
        </w:rPr>
      </w:pPr>
    </w:p>
    <w:p w:rsidR="00D64C49" w:rsidRPr="001F6E19" w:rsidRDefault="00D64C49" w:rsidP="005D70A4">
      <w:pPr>
        <w:shd w:val="clear" w:color="auto" w:fill="FFFFFF"/>
        <w:spacing w:after="0" w:line="240" w:lineRule="auto"/>
        <w:rPr>
          <w:rFonts w:ascii="Arial" w:eastAsia="Times New Roman" w:hAnsi="Arial" w:cs="Arial"/>
          <w:lang w:eastAsia="en-GB"/>
        </w:rPr>
      </w:pPr>
    </w:p>
    <w:p w:rsidR="00D64C49" w:rsidRPr="001F6E19" w:rsidRDefault="00D64C49" w:rsidP="00DA757F">
      <w:pPr>
        <w:shd w:val="clear" w:color="auto" w:fill="FFFFFF"/>
        <w:spacing w:after="0" w:line="240" w:lineRule="auto"/>
        <w:rPr>
          <w:rFonts w:ascii="Arial" w:eastAsia="Times New Roman" w:hAnsi="Arial" w:cs="Arial"/>
          <w:b/>
          <w:lang w:eastAsia="en-GB"/>
        </w:rPr>
      </w:pPr>
      <w:r w:rsidRPr="001F6E19">
        <w:rPr>
          <w:rFonts w:ascii="Arial" w:eastAsia="Times New Roman" w:hAnsi="Arial" w:cs="Arial"/>
          <w:b/>
          <w:lang w:eastAsia="en-GB"/>
        </w:rPr>
        <w:t>7</w:t>
      </w:r>
      <w:r w:rsidRPr="001F6E19">
        <w:rPr>
          <w:rFonts w:ascii="Arial" w:eastAsia="Times New Roman" w:hAnsi="Arial" w:cs="Arial"/>
          <w:b/>
          <w:lang w:eastAsia="en-GB"/>
        </w:rPr>
        <w:tab/>
        <w:t>Other comments</w:t>
      </w:r>
    </w:p>
    <w:p w:rsidR="00DA757F" w:rsidRPr="001F6E19" w:rsidRDefault="00DA757F" w:rsidP="005D70A4">
      <w:pPr>
        <w:shd w:val="clear" w:color="auto" w:fill="FFFFFF"/>
        <w:spacing w:after="0" w:line="240" w:lineRule="auto"/>
        <w:rPr>
          <w:rFonts w:ascii="Arial" w:eastAsia="Times New Roman" w:hAnsi="Arial" w:cs="Arial"/>
          <w:lang w:eastAsia="en-GB"/>
        </w:rPr>
      </w:pPr>
    </w:p>
    <w:p w:rsidR="00DA757F" w:rsidRPr="001F6E19" w:rsidRDefault="00967E61" w:rsidP="005D70A4">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We are charged market rates by our clearing brokers to execute business on these execution venues.  We do not receive any di</w:t>
      </w:r>
      <w:r w:rsidR="00DA757F" w:rsidRPr="001F6E19">
        <w:rPr>
          <w:rFonts w:ascii="Arial" w:eastAsia="Times New Roman" w:hAnsi="Arial" w:cs="Arial"/>
          <w:lang w:eastAsia="en-GB"/>
        </w:rPr>
        <w:t>scounts, rebates or non-monetary benefits</w:t>
      </w:r>
    </w:p>
    <w:p w:rsidR="001F7949" w:rsidRPr="001F6E19" w:rsidRDefault="00053E63" w:rsidP="001F7949">
      <w:pPr>
        <w:shd w:val="clear" w:color="auto" w:fill="FFFFFF"/>
        <w:spacing w:after="0" w:line="240" w:lineRule="auto"/>
        <w:rPr>
          <w:rFonts w:ascii="Arial" w:eastAsia="Times New Roman" w:hAnsi="Arial" w:cs="Arial"/>
          <w:lang w:eastAsia="en-GB"/>
        </w:rPr>
      </w:pPr>
      <w:r w:rsidRPr="001F6E19">
        <w:rPr>
          <w:rFonts w:ascii="Arial" w:eastAsia="Times New Roman" w:hAnsi="Arial" w:cs="Arial"/>
          <w:lang w:eastAsia="en-GB"/>
        </w:rPr>
        <w:t>There are no close links, conflicts of interest, and common ownerships with respect to any executio</w:t>
      </w:r>
      <w:r w:rsidR="00D64C49" w:rsidRPr="001F6E19">
        <w:rPr>
          <w:rFonts w:ascii="Arial" w:eastAsia="Times New Roman" w:hAnsi="Arial" w:cs="Arial"/>
          <w:lang w:eastAsia="en-GB"/>
        </w:rPr>
        <w:t>n venues used to execute orders.</w:t>
      </w:r>
      <w:r w:rsidR="001F7949">
        <w:rPr>
          <w:rFonts w:ascii="Arial" w:eastAsia="Times New Roman" w:hAnsi="Arial" w:cs="Arial"/>
          <w:lang w:eastAsia="en-GB"/>
        </w:rPr>
        <w:t xml:space="preserve"> We do not receive any payments for order flow.</w:t>
      </w:r>
    </w:p>
    <w:p w:rsidR="00053E63" w:rsidRPr="001F6E19" w:rsidRDefault="00053E63" w:rsidP="005D70A4">
      <w:pPr>
        <w:shd w:val="clear" w:color="auto" w:fill="FFFFFF"/>
        <w:spacing w:after="0" w:line="240" w:lineRule="auto"/>
        <w:rPr>
          <w:rFonts w:ascii="Arial" w:eastAsia="Times New Roman" w:hAnsi="Arial" w:cs="Arial"/>
          <w:lang w:eastAsia="en-GB"/>
        </w:rPr>
      </w:pPr>
    </w:p>
    <w:p w:rsidR="00D64C49" w:rsidRPr="001F6E19" w:rsidRDefault="00D64C49" w:rsidP="005D70A4">
      <w:pPr>
        <w:shd w:val="clear" w:color="auto" w:fill="FFFFFF"/>
        <w:spacing w:after="0" w:line="240" w:lineRule="auto"/>
        <w:rPr>
          <w:rFonts w:ascii="Arial" w:eastAsia="Times New Roman" w:hAnsi="Arial" w:cs="Arial"/>
          <w:lang w:eastAsia="en-GB"/>
        </w:rPr>
      </w:pPr>
    </w:p>
    <w:p w:rsidR="00DE4ABA" w:rsidRPr="001F6E19" w:rsidRDefault="00DE4ABA">
      <w:pPr>
        <w:rPr>
          <w:rFonts w:ascii="Arial" w:eastAsia="Times New Roman" w:hAnsi="Arial" w:cs="Arial"/>
          <w:b/>
          <w:lang w:eastAsia="en-GB"/>
        </w:rPr>
      </w:pPr>
      <w:r w:rsidRPr="001F6E19">
        <w:rPr>
          <w:rFonts w:ascii="Arial" w:eastAsia="Times New Roman" w:hAnsi="Arial" w:cs="Arial"/>
          <w:b/>
          <w:lang w:eastAsia="en-GB"/>
        </w:rPr>
        <w:br w:type="page"/>
      </w:r>
    </w:p>
    <w:p w:rsidR="00E764CE" w:rsidRPr="00D44390" w:rsidRDefault="00E764CE">
      <w:pPr>
        <w:rPr>
          <w:rFonts w:ascii="Arial" w:hAnsi="Arial" w:cs="Arial"/>
        </w:rPr>
      </w:pPr>
      <w:r w:rsidRPr="00D44390">
        <w:rPr>
          <w:rFonts w:ascii="Arial" w:hAnsi="Arial" w:cs="Arial"/>
        </w:rPr>
        <w:lastRenderedPageBreak/>
        <w:t>Annex 1</w:t>
      </w:r>
    </w:p>
    <w:p w:rsidR="00E764CE" w:rsidRPr="00D44390" w:rsidRDefault="00E764CE">
      <w:pPr>
        <w:rPr>
          <w:rFonts w:ascii="Arial" w:hAnsi="Arial" w:cs="Arial"/>
        </w:rPr>
      </w:pPr>
      <w:r w:rsidRPr="00D44390">
        <w:rPr>
          <w:rFonts w:ascii="Arial" w:hAnsi="Arial" w:cs="Arial"/>
        </w:rPr>
        <w:t>Execution Factors</w:t>
      </w:r>
    </w:p>
    <w:p w:rsidR="00E764CE" w:rsidRPr="00D44390" w:rsidRDefault="00E764CE">
      <w:pPr>
        <w:rPr>
          <w:rFonts w:ascii="Arial" w:hAnsi="Arial" w:cs="Arial"/>
        </w:rPr>
      </w:pPr>
    </w:p>
    <w:tbl>
      <w:tblPr>
        <w:tblStyle w:val="TableGrid"/>
        <w:tblW w:w="0" w:type="auto"/>
        <w:tblLook w:val="04A0" w:firstRow="1" w:lastRow="0" w:firstColumn="1" w:lastColumn="0" w:noHBand="0" w:noVBand="1"/>
      </w:tblPr>
      <w:tblGrid>
        <w:gridCol w:w="1951"/>
        <w:gridCol w:w="6946"/>
      </w:tblGrid>
      <w:tr w:rsidR="00D44390" w:rsidRPr="00D44390" w:rsidTr="004D1B1B">
        <w:tc>
          <w:tcPr>
            <w:tcW w:w="1951" w:type="dxa"/>
          </w:tcPr>
          <w:p w:rsidR="00E764CE" w:rsidRPr="00D44390" w:rsidRDefault="00E83A7F">
            <w:pPr>
              <w:rPr>
                <w:rFonts w:ascii="Arial" w:hAnsi="Arial" w:cs="Arial"/>
                <w:b/>
              </w:rPr>
            </w:pPr>
            <w:r w:rsidRPr="00D44390">
              <w:rPr>
                <w:rFonts w:ascii="Arial" w:hAnsi="Arial" w:cs="Arial"/>
                <w:b/>
              </w:rPr>
              <w:t xml:space="preserve">Execution Factor </w:t>
            </w:r>
          </w:p>
        </w:tc>
        <w:tc>
          <w:tcPr>
            <w:tcW w:w="6946" w:type="dxa"/>
          </w:tcPr>
          <w:p w:rsidR="00E764CE" w:rsidRPr="00D44390" w:rsidRDefault="00E83A7F">
            <w:pPr>
              <w:rPr>
                <w:rFonts w:ascii="Arial" w:hAnsi="Arial" w:cs="Arial"/>
                <w:b/>
              </w:rPr>
            </w:pPr>
            <w:r w:rsidRPr="00D44390">
              <w:rPr>
                <w:rFonts w:ascii="Arial" w:hAnsi="Arial" w:cs="Arial"/>
                <w:b/>
              </w:rPr>
              <w:t>Detail</w:t>
            </w:r>
          </w:p>
        </w:tc>
      </w:tr>
      <w:tr w:rsidR="00D44390" w:rsidRPr="00D44390" w:rsidTr="004D1B1B">
        <w:tc>
          <w:tcPr>
            <w:tcW w:w="1951" w:type="dxa"/>
          </w:tcPr>
          <w:p w:rsidR="00E764CE" w:rsidRPr="00D44390" w:rsidRDefault="00E764CE">
            <w:pPr>
              <w:rPr>
                <w:rFonts w:ascii="Arial" w:hAnsi="Arial" w:cs="Arial"/>
              </w:rPr>
            </w:pPr>
          </w:p>
        </w:tc>
        <w:tc>
          <w:tcPr>
            <w:tcW w:w="6946" w:type="dxa"/>
          </w:tcPr>
          <w:p w:rsidR="00E764CE" w:rsidRPr="00D44390" w:rsidRDefault="00E764CE">
            <w:pPr>
              <w:rPr>
                <w:rFonts w:ascii="Arial" w:hAnsi="Arial" w:cs="Arial"/>
              </w:rPr>
            </w:pPr>
          </w:p>
        </w:tc>
      </w:tr>
      <w:tr w:rsidR="00D44390" w:rsidRPr="00D44390" w:rsidTr="00E764CE">
        <w:tc>
          <w:tcPr>
            <w:tcW w:w="1951" w:type="dxa"/>
          </w:tcPr>
          <w:p w:rsidR="00E83A7F" w:rsidRPr="00D44390" w:rsidRDefault="00E83A7F">
            <w:pPr>
              <w:rPr>
                <w:rFonts w:ascii="Arial" w:hAnsi="Arial" w:cs="Arial"/>
              </w:rPr>
            </w:pPr>
            <w:r w:rsidRPr="00D44390">
              <w:rPr>
                <w:rFonts w:ascii="Arial" w:hAnsi="Arial" w:cs="Arial"/>
              </w:rPr>
              <w:t>Price of Execution</w:t>
            </w:r>
          </w:p>
        </w:tc>
        <w:tc>
          <w:tcPr>
            <w:tcW w:w="6946" w:type="dxa"/>
          </w:tcPr>
          <w:p w:rsidR="00E83A7F" w:rsidRPr="00D44390" w:rsidRDefault="00E83A7F">
            <w:pPr>
              <w:rPr>
                <w:rFonts w:ascii="Arial" w:hAnsi="Arial" w:cs="Arial"/>
              </w:rPr>
            </w:pPr>
            <w:r w:rsidRPr="00D44390">
              <w:rPr>
                <w:rFonts w:ascii="Arial" w:hAnsi="Arial" w:cs="Arial"/>
              </w:rPr>
              <w:t xml:space="preserve">Price is the primary factor we will consider when executing your </w:t>
            </w:r>
            <w:r w:rsidR="009C4A10">
              <w:rPr>
                <w:rFonts w:ascii="Arial" w:hAnsi="Arial" w:cs="Arial"/>
              </w:rPr>
              <w:t>o</w:t>
            </w:r>
            <w:r w:rsidRPr="00D44390">
              <w:rPr>
                <w:rFonts w:ascii="Arial" w:hAnsi="Arial" w:cs="Arial"/>
              </w:rPr>
              <w:t xml:space="preserve">rder.  We will seek to access the Execution Venue offering the best price to satisfy your </w:t>
            </w:r>
            <w:r w:rsidR="009C4A10">
              <w:rPr>
                <w:rFonts w:ascii="Arial" w:hAnsi="Arial" w:cs="Arial"/>
              </w:rPr>
              <w:t>o</w:t>
            </w:r>
            <w:r w:rsidRPr="00D44390">
              <w:rPr>
                <w:rFonts w:ascii="Arial" w:hAnsi="Arial" w:cs="Arial"/>
              </w:rPr>
              <w:t xml:space="preserve">rder.  See list of Execution Venues in Annex 2  </w:t>
            </w:r>
          </w:p>
        </w:tc>
      </w:tr>
      <w:tr w:rsidR="00D44390" w:rsidRPr="00D44390" w:rsidTr="00E764CE">
        <w:tc>
          <w:tcPr>
            <w:tcW w:w="1951" w:type="dxa"/>
          </w:tcPr>
          <w:p w:rsidR="009171A6" w:rsidRPr="00D44390" w:rsidRDefault="009171A6">
            <w:pPr>
              <w:rPr>
                <w:rFonts w:ascii="Arial" w:hAnsi="Arial" w:cs="Arial"/>
              </w:rPr>
            </w:pPr>
            <w:r w:rsidRPr="00D44390">
              <w:rPr>
                <w:rFonts w:ascii="Arial" w:hAnsi="Arial" w:cs="Arial"/>
              </w:rPr>
              <w:t>Cost of Execution</w:t>
            </w:r>
          </w:p>
        </w:tc>
        <w:tc>
          <w:tcPr>
            <w:tcW w:w="6946" w:type="dxa"/>
          </w:tcPr>
          <w:p w:rsidR="009171A6" w:rsidRPr="00D44390" w:rsidRDefault="009171A6">
            <w:pPr>
              <w:rPr>
                <w:rFonts w:ascii="Arial" w:hAnsi="Arial" w:cs="Arial"/>
              </w:rPr>
            </w:pPr>
            <w:r w:rsidRPr="00D44390">
              <w:rPr>
                <w:rFonts w:ascii="Arial" w:hAnsi="Arial" w:cs="Arial"/>
              </w:rPr>
              <w:t>We will incur trading, clearing and settlement fees</w:t>
            </w:r>
            <w:r w:rsidR="00DF6B9E" w:rsidRPr="00D44390">
              <w:rPr>
                <w:rFonts w:ascii="Arial" w:hAnsi="Arial" w:cs="Arial"/>
              </w:rPr>
              <w:t>.</w:t>
            </w:r>
            <w:r w:rsidR="00A05E20">
              <w:rPr>
                <w:rFonts w:ascii="Arial" w:hAnsi="Arial" w:cs="Arial"/>
              </w:rPr>
              <w:t xml:space="preserve">  Any relevant c</w:t>
            </w:r>
            <w:r w:rsidRPr="00D44390">
              <w:rPr>
                <w:rFonts w:ascii="Arial" w:hAnsi="Arial" w:cs="Arial"/>
              </w:rPr>
              <w:t>ommission rates will have been agreed with you in advance.  Costs that are inherent in the transaction, such as Stamp Duty, PTM</w:t>
            </w:r>
            <w:r w:rsidR="00D10483" w:rsidRPr="00D44390">
              <w:rPr>
                <w:rFonts w:ascii="Arial" w:hAnsi="Arial" w:cs="Arial"/>
              </w:rPr>
              <w:t xml:space="preserve"> Levy</w:t>
            </w:r>
            <w:r w:rsidRPr="00D44390">
              <w:rPr>
                <w:rFonts w:ascii="Arial" w:hAnsi="Arial" w:cs="Arial"/>
              </w:rPr>
              <w:t xml:space="preserve"> or Financial Transaction Taxes are not considered a cost of execution.</w:t>
            </w:r>
          </w:p>
        </w:tc>
      </w:tr>
      <w:tr w:rsidR="00D44390" w:rsidRPr="00D44390" w:rsidTr="00E764CE">
        <w:tc>
          <w:tcPr>
            <w:tcW w:w="1951" w:type="dxa"/>
          </w:tcPr>
          <w:p w:rsidR="009171A6" w:rsidRPr="00D44390" w:rsidRDefault="009171A6">
            <w:pPr>
              <w:rPr>
                <w:rFonts w:ascii="Arial" w:hAnsi="Arial" w:cs="Arial"/>
              </w:rPr>
            </w:pPr>
            <w:r w:rsidRPr="00D44390">
              <w:rPr>
                <w:rFonts w:ascii="Arial" w:hAnsi="Arial" w:cs="Arial"/>
              </w:rPr>
              <w:t>Nature of Order</w:t>
            </w:r>
          </w:p>
        </w:tc>
        <w:tc>
          <w:tcPr>
            <w:tcW w:w="6946" w:type="dxa"/>
          </w:tcPr>
          <w:p w:rsidR="009171A6" w:rsidRPr="00D44390" w:rsidRDefault="009171A6" w:rsidP="005604B1">
            <w:pPr>
              <w:rPr>
                <w:rFonts w:ascii="Arial" w:hAnsi="Arial" w:cs="Arial"/>
              </w:rPr>
            </w:pPr>
            <w:r w:rsidRPr="00D44390">
              <w:rPr>
                <w:rFonts w:ascii="Arial" w:hAnsi="Arial" w:cs="Arial"/>
              </w:rPr>
              <w:t xml:space="preserve">Consideration will need to be given to the </w:t>
            </w:r>
            <w:r w:rsidR="009C4A10">
              <w:rPr>
                <w:rFonts w:ascii="Arial" w:hAnsi="Arial" w:cs="Arial"/>
              </w:rPr>
              <w:t>o</w:t>
            </w:r>
            <w:r w:rsidRPr="00D44390">
              <w:rPr>
                <w:rFonts w:ascii="Arial" w:hAnsi="Arial" w:cs="Arial"/>
              </w:rPr>
              <w:t xml:space="preserve">rder type requested, as well as the liquidity of the </w:t>
            </w:r>
            <w:r w:rsidR="009C4A10">
              <w:rPr>
                <w:rFonts w:ascii="Arial" w:hAnsi="Arial" w:cs="Arial"/>
              </w:rPr>
              <w:t>f</w:t>
            </w:r>
            <w:r w:rsidRPr="00D44390">
              <w:rPr>
                <w:rFonts w:ascii="Arial" w:hAnsi="Arial" w:cs="Arial"/>
              </w:rPr>
              <w:t xml:space="preserve">inancial </w:t>
            </w:r>
            <w:r w:rsidR="009C4A10">
              <w:rPr>
                <w:rFonts w:ascii="Arial" w:hAnsi="Arial" w:cs="Arial"/>
              </w:rPr>
              <w:t>i</w:t>
            </w:r>
            <w:r w:rsidRPr="00D44390">
              <w:rPr>
                <w:rFonts w:ascii="Arial" w:hAnsi="Arial" w:cs="Arial"/>
              </w:rPr>
              <w:t xml:space="preserve">nstrument at the relevant time.  </w:t>
            </w:r>
          </w:p>
        </w:tc>
      </w:tr>
      <w:tr w:rsidR="00D44390" w:rsidRPr="00D44390" w:rsidTr="00E764CE">
        <w:tc>
          <w:tcPr>
            <w:tcW w:w="1951" w:type="dxa"/>
          </w:tcPr>
          <w:p w:rsidR="009171A6" w:rsidRPr="00D44390" w:rsidRDefault="009171A6">
            <w:pPr>
              <w:rPr>
                <w:rFonts w:ascii="Arial" w:hAnsi="Arial" w:cs="Arial"/>
              </w:rPr>
            </w:pPr>
            <w:r w:rsidRPr="00D44390">
              <w:rPr>
                <w:rFonts w:ascii="Arial" w:hAnsi="Arial" w:cs="Arial"/>
              </w:rPr>
              <w:t>Size of Order</w:t>
            </w:r>
          </w:p>
        </w:tc>
        <w:tc>
          <w:tcPr>
            <w:tcW w:w="6946" w:type="dxa"/>
          </w:tcPr>
          <w:p w:rsidR="009171A6" w:rsidRPr="00D44390" w:rsidRDefault="009171A6" w:rsidP="005604B1">
            <w:pPr>
              <w:rPr>
                <w:rFonts w:ascii="Arial" w:hAnsi="Arial" w:cs="Arial"/>
              </w:rPr>
            </w:pPr>
            <w:r w:rsidRPr="00D44390">
              <w:rPr>
                <w:rFonts w:ascii="Arial" w:hAnsi="Arial" w:cs="Arial"/>
              </w:rPr>
              <w:t xml:space="preserve">As per the nature of the </w:t>
            </w:r>
            <w:r w:rsidR="009C4A10">
              <w:rPr>
                <w:rFonts w:ascii="Arial" w:hAnsi="Arial" w:cs="Arial"/>
              </w:rPr>
              <w:t>o</w:t>
            </w:r>
            <w:r w:rsidRPr="00D44390">
              <w:rPr>
                <w:rFonts w:ascii="Arial" w:hAnsi="Arial" w:cs="Arial"/>
              </w:rPr>
              <w:t xml:space="preserve">rder, the size of the </w:t>
            </w:r>
            <w:r w:rsidR="009C4A10">
              <w:rPr>
                <w:rFonts w:ascii="Arial" w:hAnsi="Arial" w:cs="Arial"/>
              </w:rPr>
              <w:t>o</w:t>
            </w:r>
            <w:r w:rsidRPr="00D44390">
              <w:rPr>
                <w:rFonts w:ascii="Arial" w:hAnsi="Arial" w:cs="Arial"/>
              </w:rPr>
              <w:t xml:space="preserve">rder in relation to the liquidity of the </w:t>
            </w:r>
            <w:r w:rsidR="009C4A10">
              <w:rPr>
                <w:rFonts w:ascii="Arial" w:hAnsi="Arial" w:cs="Arial"/>
              </w:rPr>
              <w:t>f</w:t>
            </w:r>
            <w:r w:rsidRPr="00D44390">
              <w:rPr>
                <w:rFonts w:ascii="Arial" w:hAnsi="Arial" w:cs="Arial"/>
              </w:rPr>
              <w:t xml:space="preserve">inancial </w:t>
            </w:r>
            <w:r w:rsidR="009C4A10">
              <w:rPr>
                <w:rFonts w:ascii="Arial" w:hAnsi="Arial" w:cs="Arial"/>
              </w:rPr>
              <w:t>i</w:t>
            </w:r>
            <w:r w:rsidRPr="00D44390">
              <w:rPr>
                <w:rFonts w:ascii="Arial" w:hAnsi="Arial" w:cs="Arial"/>
              </w:rPr>
              <w:t>nstrument may hav</w:t>
            </w:r>
            <w:r w:rsidR="00A05E20">
              <w:rPr>
                <w:rFonts w:ascii="Arial" w:hAnsi="Arial" w:cs="Arial"/>
              </w:rPr>
              <w:t>e significant influence on the best e</w:t>
            </w:r>
            <w:r w:rsidRPr="00D44390">
              <w:rPr>
                <w:rFonts w:ascii="Arial" w:hAnsi="Arial" w:cs="Arial"/>
              </w:rPr>
              <w:t>xecution process.</w:t>
            </w:r>
          </w:p>
        </w:tc>
      </w:tr>
      <w:tr w:rsidR="00D44390" w:rsidRPr="00D44390" w:rsidTr="00E764CE">
        <w:tc>
          <w:tcPr>
            <w:tcW w:w="1951" w:type="dxa"/>
          </w:tcPr>
          <w:p w:rsidR="009171A6" w:rsidRPr="00D44390" w:rsidRDefault="009171A6">
            <w:pPr>
              <w:rPr>
                <w:rFonts w:ascii="Arial" w:hAnsi="Arial" w:cs="Arial"/>
              </w:rPr>
            </w:pPr>
            <w:r w:rsidRPr="00D44390">
              <w:rPr>
                <w:rFonts w:ascii="Arial" w:hAnsi="Arial" w:cs="Arial"/>
              </w:rPr>
              <w:t>Speed of Execution</w:t>
            </w:r>
          </w:p>
        </w:tc>
        <w:tc>
          <w:tcPr>
            <w:tcW w:w="6946" w:type="dxa"/>
          </w:tcPr>
          <w:p w:rsidR="009171A6" w:rsidRPr="00D44390" w:rsidRDefault="009171A6" w:rsidP="005604B1">
            <w:pPr>
              <w:rPr>
                <w:rFonts w:ascii="Arial" w:hAnsi="Arial" w:cs="Arial"/>
              </w:rPr>
            </w:pPr>
            <w:r w:rsidRPr="00D44390">
              <w:rPr>
                <w:rFonts w:ascii="Arial" w:hAnsi="Arial" w:cs="Arial"/>
              </w:rPr>
              <w:t xml:space="preserve">The importance of speed of execution will vary.  For example, to reduce the costs associated with market impact, and hence price, a large client </w:t>
            </w:r>
            <w:r w:rsidR="009C4A10">
              <w:rPr>
                <w:rFonts w:ascii="Arial" w:hAnsi="Arial" w:cs="Arial"/>
              </w:rPr>
              <w:t>o</w:t>
            </w:r>
            <w:r w:rsidRPr="00D44390">
              <w:rPr>
                <w:rFonts w:ascii="Arial" w:hAnsi="Arial" w:cs="Arial"/>
              </w:rPr>
              <w:t>rder might be worked over a day or more.</w:t>
            </w:r>
          </w:p>
        </w:tc>
      </w:tr>
      <w:tr w:rsidR="00D44390" w:rsidRPr="00D44390" w:rsidTr="00E764CE">
        <w:tc>
          <w:tcPr>
            <w:tcW w:w="1951" w:type="dxa"/>
          </w:tcPr>
          <w:p w:rsidR="009171A6" w:rsidRPr="00D44390" w:rsidRDefault="009171A6">
            <w:pPr>
              <w:rPr>
                <w:rFonts w:ascii="Arial" w:hAnsi="Arial" w:cs="Arial"/>
              </w:rPr>
            </w:pPr>
            <w:r w:rsidRPr="00D44390">
              <w:rPr>
                <w:rFonts w:ascii="Arial" w:hAnsi="Arial" w:cs="Arial"/>
              </w:rPr>
              <w:t>Likelihood of Execution and/or Settlement</w:t>
            </w:r>
          </w:p>
        </w:tc>
        <w:tc>
          <w:tcPr>
            <w:tcW w:w="6946" w:type="dxa"/>
          </w:tcPr>
          <w:p w:rsidR="009171A6" w:rsidRPr="00D44390" w:rsidRDefault="009171A6" w:rsidP="005604B1">
            <w:pPr>
              <w:rPr>
                <w:rFonts w:ascii="Arial" w:hAnsi="Arial" w:cs="Arial"/>
              </w:rPr>
            </w:pPr>
            <w:r w:rsidRPr="00D44390">
              <w:rPr>
                <w:rFonts w:ascii="Arial" w:hAnsi="Arial" w:cs="Arial"/>
              </w:rPr>
              <w:t>We measure the performance of our counterparties, looking specifically at the failure rate.  A shortage in the market (lack of liquidity) might also have a direct impact on price.</w:t>
            </w:r>
          </w:p>
        </w:tc>
      </w:tr>
      <w:tr w:rsidR="00D44390" w:rsidRPr="00D44390" w:rsidTr="00E764CE">
        <w:tc>
          <w:tcPr>
            <w:tcW w:w="1951" w:type="dxa"/>
          </w:tcPr>
          <w:p w:rsidR="009171A6" w:rsidRPr="00D44390" w:rsidRDefault="009171A6">
            <w:pPr>
              <w:rPr>
                <w:rFonts w:ascii="Arial" w:hAnsi="Arial" w:cs="Arial"/>
              </w:rPr>
            </w:pPr>
            <w:r w:rsidRPr="00D44390">
              <w:rPr>
                <w:rFonts w:ascii="Arial" w:hAnsi="Arial" w:cs="Arial"/>
              </w:rPr>
              <w:t>Other Relevant Considerations</w:t>
            </w:r>
          </w:p>
        </w:tc>
        <w:tc>
          <w:tcPr>
            <w:tcW w:w="6946" w:type="dxa"/>
          </w:tcPr>
          <w:p w:rsidR="009171A6" w:rsidRPr="00D44390" w:rsidRDefault="009171A6" w:rsidP="005604B1">
            <w:pPr>
              <w:rPr>
                <w:rFonts w:ascii="Arial" w:hAnsi="Arial" w:cs="Arial"/>
              </w:rPr>
            </w:pPr>
            <w:r w:rsidRPr="00D44390">
              <w:rPr>
                <w:rFonts w:ascii="Arial" w:hAnsi="Arial" w:cs="Arial"/>
              </w:rPr>
              <w:t>This may include client specific instructions, certain corporate action events, technical trading situations, or natural client crossing opportunities for example.</w:t>
            </w:r>
          </w:p>
        </w:tc>
      </w:tr>
    </w:tbl>
    <w:p w:rsidR="00E764CE" w:rsidRPr="00D44390" w:rsidRDefault="00E764CE">
      <w:pPr>
        <w:rPr>
          <w:rFonts w:ascii="Arial" w:hAnsi="Arial" w:cs="Arial"/>
        </w:rPr>
      </w:pPr>
      <w:r w:rsidRPr="00D44390">
        <w:rPr>
          <w:rFonts w:ascii="Arial" w:hAnsi="Arial" w:cs="Arial"/>
        </w:rPr>
        <w:br w:type="page"/>
      </w:r>
    </w:p>
    <w:p w:rsidR="007567F9" w:rsidRPr="00D44390" w:rsidRDefault="00B12232">
      <w:pPr>
        <w:rPr>
          <w:rFonts w:ascii="Arial" w:hAnsi="Arial" w:cs="Arial"/>
        </w:rPr>
      </w:pPr>
      <w:r w:rsidRPr="00D44390">
        <w:rPr>
          <w:rFonts w:ascii="Arial" w:hAnsi="Arial" w:cs="Arial"/>
        </w:rPr>
        <w:lastRenderedPageBreak/>
        <w:t xml:space="preserve">Annex </w:t>
      </w:r>
      <w:r w:rsidR="00E764CE" w:rsidRPr="00D44390">
        <w:rPr>
          <w:rFonts w:ascii="Arial" w:hAnsi="Arial" w:cs="Arial"/>
        </w:rPr>
        <w:t>2</w:t>
      </w:r>
    </w:p>
    <w:p w:rsidR="00B12232" w:rsidRPr="00D44390" w:rsidRDefault="009171A6">
      <w:pPr>
        <w:rPr>
          <w:rFonts w:ascii="Arial" w:hAnsi="Arial" w:cs="Arial"/>
        </w:rPr>
      </w:pPr>
      <w:r w:rsidRPr="00D44390">
        <w:rPr>
          <w:rFonts w:ascii="Arial" w:hAnsi="Arial" w:cs="Arial"/>
        </w:rPr>
        <w:t>Execution Venues</w:t>
      </w:r>
    </w:p>
    <w:p w:rsidR="00E80AF0" w:rsidRPr="00D44390" w:rsidRDefault="00E80AF0" w:rsidP="00E80AF0">
      <w:pPr>
        <w:rPr>
          <w:rFonts w:ascii="Arial" w:hAnsi="Arial" w:cs="Arial"/>
        </w:rPr>
      </w:pPr>
    </w:p>
    <w:tbl>
      <w:tblPr>
        <w:tblStyle w:val="TableGrid"/>
        <w:tblW w:w="0" w:type="auto"/>
        <w:tblLook w:val="04A0" w:firstRow="1" w:lastRow="0" w:firstColumn="1" w:lastColumn="0" w:noHBand="0" w:noVBand="1"/>
      </w:tblPr>
      <w:tblGrid>
        <w:gridCol w:w="1757"/>
        <w:gridCol w:w="3483"/>
      </w:tblGrid>
      <w:tr w:rsidR="00D44390" w:rsidRPr="00D44390" w:rsidTr="00D10483">
        <w:tc>
          <w:tcPr>
            <w:tcW w:w="1757" w:type="dxa"/>
          </w:tcPr>
          <w:p w:rsidR="00DF6B9E" w:rsidRPr="00D44390" w:rsidRDefault="00DF6B9E" w:rsidP="001050D4">
            <w:pPr>
              <w:rPr>
                <w:rFonts w:ascii="Arial" w:hAnsi="Arial" w:cs="Arial"/>
                <w:b/>
              </w:rPr>
            </w:pPr>
            <w:r w:rsidRPr="00D44390">
              <w:rPr>
                <w:rFonts w:ascii="Arial" w:hAnsi="Arial" w:cs="Arial"/>
                <w:b/>
              </w:rPr>
              <w:t>Financial Instrument</w:t>
            </w:r>
          </w:p>
        </w:tc>
        <w:tc>
          <w:tcPr>
            <w:tcW w:w="3483" w:type="dxa"/>
          </w:tcPr>
          <w:p w:rsidR="00DF6B9E" w:rsidRPr="00D44390" w:rsidRDefault="00DF6B9E" w:rsidP="001050D4">
            <w:pPr>
              <w:rPr>
                <w:rFonts w:ascii="Arial" w:hAnsi="Arial" w:cs="Arial"/>
                <w:b/>
              </w:rPr>
            </w:pPr>
            <w:r w:rsidRPr="00D44390">
              <w:rPr>
                <w:rFonts w:ascii="Arial" w:hAnsi="Arial" w:cs="Arial"/>
                <w:b/>
              </w:rPr>
              <w:t xml:space="preserve">Execution Venue </w:t>
            </w:r>
          </w:p>
        </w:tc>
      </w:tr>
      <w:tr w:rsidR="00D44390" w:rsidRPr="00D44390" w:rsidTr="00D10483">
        <w:tc>
          <w:tcPr>
            <w:tcW w:w="1757" w:type="dxa"/>
          </w:tcPr>
          <w:p w:rsidR="00DF6B9E" w:rsidRPr="00D44390" w:rsidRDefault="00DF6B9E" w:rsidP="001050D4">
            <w:pPr>
              <w:rPr>
                <w:rFonts w:ascii="Arial" w:hAnsi="Arial" w:cs="Arial"/>
              </w:rPr>
            </w:pPr>
            <w:r w:rsidRPr="00D44390">
              <w:rPr>
                <w:rFonts w:ascii="Arial" w:hAnsi="Arial" w:cs="Arial"/>
              </w:rPr>
              <w:t>UK/EU Equity Derivatives</w:t>
            </w:r>
          </w:p>
          <w:p w:rsidR="00DF6B9E" w:rsidRPr="00D44390" w:rsidRDefault="00DF6B9E" w:rsidP="001050D4">
            <w:pPr>
              <w:rPr>
                <w:rFonts w:ascii="Arial" w:hAnsi="Arial" w:cs="Arial"/>
              </w:rPr>
            </w:pPr>
          </w:p>
        </w:tc>
        <w:tc>
          <w:tcPr>
            <w:tcW w:w="3483" w:type="dxa"/>
          </w:tcPr>
          <w:p w:rsidR="00DF6B9E" w:rsidRPr="00D44390" w:rsidRDefault="00DF6B9E" w:rsidP="001050D4">
            <w:pPr>
              <w:rPr>
                <w:rFonts w:ascii="Arial" w:hAnsi="Arial" w:cs="Arial"/>
              </w:rPr>
            </w:pPr>
            <w:r w:rsidRPr="00D44390">
              <w:rPr>
                <w:rFonts w:ascii="Arial" w:hAnsi="Arial" w:cs="Arial"/>
              </w:rPr>
              <w:t>ICE Futures Europe</w:t>
            </w:r>
          </w:p>
        </w:tc>
      </w:tr>
      <w:tr w:rsidR="00D44390" w:rsidRPr="00D44390" w:rsidTr="00D10483">
        <w:tc>
          <w:tcPr>
            <w:tcW w:w="1757" w:type="dxa"/>
          </w:tcPr>
          <w:p w:rsidR="00DF6B9E" w:rsidRPr="00D44390" w:rsidRDefault="00DF6B9E" w:rsidP="001050D4">
            <w:pPr>
              <w:rPr>
                <w:rFonts w:ascii="Arial" w:hAnsi="Arial" w:cs="Arial"/>
              </w:rPr>
            </w:pPr>
            <w:r w:rsidRPr="00D44390">
              <w:rPr>
                <w:rFonts w:ascii="Arial" w:hAnsi="Arial" w:cs="Arial"/>
              </w:rPr>
              <w:t>US Equity Derivatives</w:t>
            </w:r>
          </w:p>
          <w:p w:rsidR="00DF6B9E" w:rsidRPr="00D44390" w:rsidRDefault="00DF6B9E" w:rsidP="001050D4">
            <w:pPr>
              <w:rPr>
                <w:rFonts w:ascii="Arial" w:hAnsi="Arial" w:cs="Arial"/>
              </w:rPr>
            </w:pPr>
          </w:p>
        </w:tc>
        <w:tc>
          <w:tcPr>
            <w:tcW w:w="3483" w:type="dxa"/>
          </w:tcPr>
          <w:p w:rsidR="00DF6B9E" w:rsidRPr="00D44390" w:rsidRDefault="00DF6B9E" w:rsidP="001050D4">
            <w:pPr>
              <w:rPr>
                <w:rFonts w:ascii="Arial" w:hAnsi="Arial" w:cs="Arial"/>
              </w:rPr>
            </w:pPr>
            <w:r w:rsidRPr="00D44390">
              <w:rPr>
                <w:rFonts w:ascii="Arial" w:hAnsi="Arial" w:cs="Arial"/>
              </w:rPr>
              <w:t>Various US Regulated Markets</w:t>
            </w:r>
            <w:r w:rsidR="00D10483" w:rsidRPr="00D44390">
              <w:rPr>
                <w:rFonts w:ascii="Arial" w:hAnsi="Arial" w:cs="Arial"/>
              </w:rPr>
              <w:t xml:space="preserve"> #</w:t>
            </w:r>
            <w:r w:rsidRPr="00D44390">
              <w:rPr>
                <w:rFonts w:ascii="Arial" w:hAnsi="Arial" w:cs="Arial"/>
              </w:rPr>
              <w:t xml:space="preserve"> </w:t>
            </w:r>
          </w:p>
        </w:tc>
      </w:tr>
      <w:tr w:rsidR="00D44390" w:rsidRPr="00D44390" w:rsidTr="00D10483">
        <w:tc>
          <w:tcPr>
            <w:tcW w:w="1757" w:type="dxa"/>
          </w:tcPr>
          <w:p w:rsidR="00DF6B9E" w:rsidRPr="00D44390" w:rsidRDefault="00DF6B9E" w:rsidP="001050D4">
            <w:pPr>
              <w:rPr>
                <w:rFonts w:ascii="Arial" w:hAnsi="Arial" w:cs="Arial"/>
              </w:rPr>
            </w:pPr>
            <w:r w:rsidRPr="00D44390">
              <w:rPr>
                <w:rFonts w:ascii="Arial" w:hAnsi="Arial" w:cs="Arial"/>
              </w:rPr>
              <w:t>UK Equities</w:t>
            </w:r>
            <w:r w:rsidR="004E4A78" w:rsidRPr="00D44390">
              <w:rPr>
                <w:rFonts w:ascii="Arial" w:hAnsi="Arial" w:cs="Arial"/>
              </w:rPr>
              <w:t xml:space="preserve"> </w:t>
            </w:r>
          </w:p>
        </w:tc>
        <w:tc>
          <w:tcPr>
            <w:tcW w:w="3483" w:type="dxa"/>
          </w:tcPr>
          <w:p w:rsidR="00DF6B9E" w:rsidRPr="00D44390" w:rsidRDefault="00C050E8" w:rsidP="001050D4">
            <w:pPr>
              <w:rPr>
                <w:rFonts w:ascii="Arial" w:hAnsi="Arial" w:cs="Arial"/>
              </w:rPr>
            </w:pPr>
            <w:proofErr w:type="spellStart"/>
            <w:r w:rsidRPr="00D44390">
              <w:rPr>
                <w:rFonts w:ascii="Arial" w:hAnsi="Arial" w:cs="Arial"/>
              </w:rPr>
              <w:t>Winterflood</w:t>
            </w:r>
            <w:proofErr w:type="spellEnd"/>
            <w:r w:rsidRPr="00D44390">
              <w:rPr>
                <w:rFonts w:ascii="Arial" w:hAnsi="Arial" w:cs="Arial"/>
              </w:rPr>
              <w:t xml:space="preserve"> Securities Limited</w:t>
            </w:r>
          </w:p>
          <w:p w:rsidR="00D10483" w:rsidRPr="00D44390" w:rsidRDefault="00D10483" w:rsidP="001050D4">
            <w:pPr>
              <w:rPr>
                <w:rFonts w:ascii="Arial" w:hAnsi="Arial" w:cs="Arial"/>
              </w:rPr>
            </w:pPr>
          </w:p>
        </w:tc>
      </w:tr>
      <w:tr w:rsidR="00DF6B9E" w:rsidRPr="00D44390" w:rsidTr="00D10483">
        <w:tc>
          <w:tcPr>
            <w:tcW w:w="1757" w:type="dxa"/>
          </w:tcPr>
          <w:p w:rsidR="00DF6B9E" w:rsidRPr="00D44390" w:rsidRDefault="00DF6B9E" w:rsidP="001050D4">
            <w:pPr>
              <w:rPr>
                <w:rFonts w:ascii="Arial" w:hAnsi="Arial" w:cs="Arial"/>
              </w:rPr>
            </w:pPr>
            <w:r w:rsidRPr="00D44390">
              <w:rPr>
                <w:rFonts w:ascii="Arial" w:hAnsi="Arial" w:cs="Arial"/>
              </w:rPr>
              <w:t>Global Futures and Options</w:t>
            </w:r>
          </w:p>
        </w:tc>
        <w:tc>
          <w:tcPr>
            <w:tcW w:w="3483" w:type="dxa"/>
          </w:tcPr>
          <w:p w:rsidR="00DF6B9E" w:rsidRPr="00D44390" w:rsidRDefault="00DF6B9E" w:rsidP="001050D4">
            <w:pPr>
              <w:rPr>
                <w:rFonts w:ascii="Arial" w:hAnsi="Arial" w:cs="Arial"/>
              </w:rPr>
            </w:pPr>
            <w:r w:rsidRPr="00D44390">
              <w:rPr>
                <w:rFonts w:ascii="Arial" w:hAnsi="Arial" w:cs="Arial"/>
              </w:rPr>
              <w:t>Global Futures and Options Regulated Markets</w:t>
            </w:r>
          </w:p>
          <w:p w:rsidR="00D10483" w:rsidRPr="00D44390" w:rsidRDefault="00D10483" w:rsidP="001050D4">
            <w:pPr>
              <w:rPr>
                <w:rFonts w:ascii="Arial" w:hAnsi="Arial" w:cs="Arial"/>
              </w:rPr>
            </w:pPr>
          </w:p>
        </w:tc>
      </w:tr>
    </w:tbl>
    <w:p w:rsidR="00EA0535" w:rsidRPr="00D44390" w:rsidRDefault="00EA0535" w:rsidP="00D10483">
      <w:pPr>
        <w:rPr>
          <w:rFonts w:ascii="Arial" w:hAnsi="Arial" w:cs="Arial"/>
        </w:rPr>
      </w:pPr>
    </w:p>
    <w:p w:rsidR="00D10483" w:rsidRPr="00D44390" w:rsidRDefault="00D10483" w:rsidP="00D10483">
      <w:pPr>
        <w:rPr>
          <w:rFonts w:ascii="Arial" w:hAnsi="Arial" w:cs="Arial"/>
        </w:rPr>
      </w:pPr>
      <w:r w:rsidRPr="00D44390">
        <w:rPr>
          <w:rFonts w:ascii="Arial" w:hAnsi="Arial" w:cs="Arial"/>
        </w:rPr>
        <w:t>#</w:t>
      </w:r>
      <w:r w:rsidR="00A05E20">
        <w:rPr>
          <w:rFonts w:ascii="Arial" w:hAnsi="Arial" w:cs="Arial"/>
        </w:rPr>
        <w:t xml:space="preserve"> </w:t>
      </w:r>
      <w:r w:rsidRPr="00D44390">
        <w:rPr>
          <w:rFonts w:ascii="Arial" w:hAnsi="Arial" w:cs="Arial"/>
        </w:rPr>
        <w:t xml:space="preserve">- orders transmitted to </w:t>
      </w:r>
      <w:proofErr w:type="spellStart"/>
      <w:r w:rsidR="00933F98">
        <w:rPr>
          <w:rFonts w:ascii="Arial" w:hAnsi="Arial" w:cs="Arial"/>
        </w:rPr>
        <w:t>Rox</w:t>
      </w:r>
      <w:proofErr w:type="spellEnd"/>
      <w:r w:rsidR="00933F98">
        <w:rPr>
          <w:rFonts w:ascii="Arial" w:hAnsi="Arial" w:cs="Arial"/>
        </w:rPr>
        <w:t xml:space="preserve"> Systems, </w:t>
      </w:r>
      <w:proofErr w:type="spellStart"/>
      <w:r w:rsidR="00933F98">
        <w:rPr>
          <w:rFonts w:ascii="Arial" w:hAnsi="Arial" w:cs="Arial"/>
        </w:rPr>
        <w:t>Inc’s</w:t>
      </w:r>
      <w:proofErr w:type="spellEnd"/>
      <w:r w:rsidR="00933F98">
        <w:rPr>
          <w:rFonts w:ascii="Arial" w:hAnsi="Arial" w:cs="Arial"/>
        </w:rPr>
        <w:t xml:space="preserve"> </w:t>
      </w:r>
      <w:r w:rsidRPr="00D44390">
        <w:rPr>
          <w:rFonts w:ascii="Arial" w:hAnsi="Arial" w:cs="Arial"/>
        </w:rPr>
        <w:t>order</w:t>
      </w:r>
      <w:r w:rsidR="00A05E20">
        <w:rPr>
          <w:rFonts w:ascii="Arial" w:hAnsi="Arial" w:cs="Arial"/>
        </w:rPr>
        <w:t xml:space="preserve"> routing mechanism for execution.  </w:t>
      </w:r>
      <w:r w:rsidR="00E47338">
        <w:rPr>
          <w:rFonts w:ascii="Arial" w:hAnsi="Arial" w:cs="Arial"/>
        </w:rPr>
        <w:t>Transactions executed by Lek Securities Corp.</w:t>
      </w:r>
    </w:p>
    <w:sectPr w:rsidR="00D10483" w:rsidRPr="00D44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69E"/>
    <w:multiLevelType w:val="hybridMultilevel"/>
    <w:tmpl w:val="BC6E5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C3430E"/>
    <w:multiLevelType w:val="hybridMultilevel"/>
    <w:tmpl w:val="F1C8311A"/>
    <w:lvl w:ilvl="0" w:tplc="DB1071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B3584"/>
    <w:multiLevelType w:val="hybridMultilevel"/>
    <w:tmpl w:val="A57C3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E65AC2"/>
    <w:multiLevelType w:val="hybridMultilevel"/>
    <w:tmpl w:val="3782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96B4A"/>
    <w:multiLevelType w:val="hybridMultilevel"/>
    <w:tmpl w:val="724C53B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29F30472"/>
    <w:multiLevelType w:val="hybridMultilevel"/>
    <w:tmpl w:val="66C4C4D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 w15:restartNumberingAfterBreak="0">
    <w:nsid w:val="30F84A24"/>
    <w:multiLevelType w:val="hybridMultilevel"/>
    <w:tmpl w:val="F738C7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4B30398"/>
    <w:multiLevelType w:val="hybridMultilevel"/>
    <w:tmpl w:val="3FA4F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115A8A"/>
    <w:multiLevelType w:val="hybridMultilevel"/>
    <w:tmpl w:val="E716E3E4"/>
    <w:lvl w:ilvl="0" w:tplc="5376349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B1C56"/>
    <w:multiLevelType w:val="hybridMultilevel"/>
    <w:tmpl w:val="AC2A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77D42"/>
    <w:multiLevelType w:val="hybridMultilevel"/>
    <w:tmpl w:val="3C30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83664"/>
    <w:multiLevelType w:val="hybridMultilevel"/>
    <w:tmpl w:val="A23EC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627F0"/>
    <w:multiLevelType w:val="hybridMultilevel"/>
    <w:tmpl w:val="D4A6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6"/>
  </w:num>
  <w:num w:numId="5">
    <w:abstractNumId w:val="5"/>
  </w:num>
  <w:num w:numId="6">
    <w:abstractNumId w:val="12"/>
  </w:num>
  <w:num w:numId="7">
    <w:abstractNumId w:val="7"/>
  </w:num>
  <w:num w:numId="8">
    <w:abstractNumId w:val="9"/>
  </w:num>
  <w:num w:numId="9">
    <w:abstractNumId w:val="0"/>
  </w:num>
  <w:num w:numId="10">
    <w:abstractNumId w:val="10"/>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A4"/>
    <w:rsid w:val="000157C3"/>
    <w:rsid w:val="00016250"/>
    <w:rsid w:val="000356CD"/>
    <w:rsid w:val="00053E63"/>
    <w:rsid w:val="000676E4"/>
    <w:rsid w:val="000727D0"/>
    <w:rsid w:val="000B0BC2"/>
    <w:rsid w:val="000E63A3"/>
    <w:rsid w:val="00106968"/>
    <w:rsid w:val="0013275A"/>
    <w:rsid w:val="00152FD3"/>
    <w:rsid w:val="00162FAB"/>
    <w:rsid w:val="001F6E19"/>
    <w:rsid w:val="001F7949"/>
    <w:rsid w:val="00210382"/>
    <w:rsid w:val="00215AD2"/>
    <w:rsid w:val="002225B5"/>
    <w:rsid w:val="00264861"/>
    <w:rsid w:val="002B4D33"/>
    <w:rsid w:val="002D3397"/>
    <w:rsid w:val="00300716"/>
    <w:rsid w:val="003134BA"/>
    <w:rsid w:val="00374C1B"/>
    <w:rsid w:val="003A67A3"/>
    <w:rsid w:val="00404E3C"/>
    <w:rsid w:val="00460569"/>
    <w:rsid w:val="00477D85"/>
    <w:rsid w:val="00481820"/>
    <w:rsid w:val="004C72F4"/>
    <w:rsid w:val="004D1B1B"/>
    <w:rsid w:val="004E4A78"/>
    <w:rsid w:val="005029D4"/>
    <w:rsid w:val="005604B1"/>
    <w:rsid w:val="00571787"/>
    <w:rsid w:val="005A72F4"/>
    <w:rsid w:val="005D70A4"/>
    <w:rsid w:val="005E00C5"/>
    <w:rsid w:val="005F6312"/>
    <w:rsid w:val="00611D93"/>
    <w:rsid w:val="006B22A7"/>
    <w:rsid w:val="006B52FD"/>
    <w:rsid w:val="006C7DBD"/>
    <w:rsid w:val="00703585"/>
    <w:rsid w:val="007567F9"/>
    <w:rsid w:val="00770EB4"/>
    <w:rsid w:val="007B00B7"/>
    <w:rsid w:val="00870A26"/>
    <w:rsid w:val="008D5A18"/>
    <w:rsid w:val="008E5AE4"/>
    <w:rsid w:val="008F5F19"/>
    <w:rsid w:val="00910EDA"/>
    <w:rsid w:val="00914395"/>
    <w:rsid w:val="009171A6"/>
    <w:rsid w:val="00933F98"/>
    <w:rsid w:val="00961D6F"/>
    <w:rsid w:val="00967E61"/>
    <w:rsid w:val="009C4A10"/>
    <w:rsid w:val="009E54A2"/>
    <w:rsid w:val="00A05E20"/>
    <w:rsid w:val="00A651FA"/>
    <w:rsid w:val="00A80A53"/>
    <w:rsid w:val="00AA44CB"/>
    <w:rsid w:val="00AE2A74"/>
    <w:rsid w:val="00B12232"/>
    <w:rsid w:val="00B240D2"/>
    <w:rsid w:val="00B44002"/>
    <w:rsid w:val="00B56CEE"/>
    <w:rsid w:val="00B84203"/>
    <w:rsid w:val="00B96C22"/>
    <w:rsid w:val="00C050E8"/>
    <w:rsid w:val="00C06B98"/>
    <w:rsid w:val="00C11776"/>
    <w:rsid w:val="00C1578B"/>
    <w:rsid w:val="00C73454"/>
    <w:rsid w:val="00C84E61"/>
    <w:rsid w:val="00CF425A"/>
    <w:rsid w:val="00CF4A32"/>
    <w:rsid w:val="00CF5C4E"/>
    <w:rsid w:val="00D10483"/>
    <w:rsid w:val="00D114DF"/>
    <w:rsid w:val="00D44390"/>
    <w:rsid w:val="00D5105D"/>
    <w:rsid w:val="00D64C49"/>
    <w:rsid w:val="00D80497"/>
    <w:rsid w:val="00D8104F"/>
    <w:rsid w:val="00DA757F"/>
    <w:rsid w:val="00DE4ABA"/>
    <w:rsid w:val="00DF6B9E"/>
    <w:rsid w:val="00E47338"/>
    <w:rsid w:val="00E63A80"/>
    <w:rsid w:val="00E764CE"/>
    <w:rsid w:val="00E80AF0"/>
    <w:rsid w:val="00E83A7F"/>
    <w:rsid w:val="00E92ACE"/>
    <w:rsid w:val="00EA0535"/>
    <w:rsid w:val="00EC2E89"/>
    <w:rsid w:val="00F32A39"/>
    <w:rsid w:val="00F92D43"/>
    <w:rsid w:val="00FC4CE1"/>
    <w:rsid w:val="00FE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B0D9"/>
  <w15:docId w15:val="{B29717BC-CB5A-469F-9CFA-9190C758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70A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70A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D70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70A4"/>
    <w:rPr>
      <w:color w:val="0000FF"/>
      <w:u w:val="single"/>
    </w:rPr>
  </w:style>
  <w:style w:type="character" w:styleId="Strong">
    <w:name w:val="Strong"/>
    <w:basedOn w:val="DefaultParagraphFont"/>
    <w:uiPriority w:val="22"/>
    <w:qFormat/>
    <w:rsid w:val="005D70A4"/>
    <w:rPr>
      <w:b/>
      <w:bCs/>
    </w:rPr>
  </w:style>
  <w:style w:type="paragraph" w:styleId="BalloonText">
    <w:name w:val="Balloon Text"/>
    <w:basedOn w:val="Normal"/>
    <w:link w:val="BalloonTextChar"/>
    <w:uiPriority w:val="99"/>
    <w:semiHidden/>
    <w:unhideWhenUsed/>
    <w:rsid w:val="005D7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A4"/>
    <w:rPr>
      <w:rFonts w:ascii="Tahoma" w:hAnsi="Tahoma" w:cs="Tahoma"/>
      <w:sz w:val="16"/>
      <w:szCs w:val="16"/>
    </w:rPr>
  </w:style>
  <w:style w:type="paragraph" w:styleId="ListParagraph">
    <w:name w:val="List Paragraph"/>
    <w:basedOn w:val="Normal"/>
    <w:uiPriority w:val="34"/>
    <w:qFormat/>
    <w:rsid w:val="00D5105D"/>
    <w:pPr>
      <w:ind w:left="720"/>
      <w:contextualSpacing/>
    </w:pPr>
  </w:style>
  <w:style w:type="table" w:styleId="TableGrid">
    <w:name w:val="Table Grid"/>
    <w:basedOn w:val="TableNormal"/>
    <w:uiPriority w:val="59"/>
    <w:rsid w:val="00AE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023916">
      <w:bodyDiv w:val="1"/>
      <w:marLeft w:val="0"/>
      <w:marRight w:val="0"/>
      <w:marTop w:val="0"/>
      <w:marBottom w:val="0"/>
      <w:divBdr>
        <w:top w:val="none" w:sz="0" w:space="0" w:color="auto"/>
        <w:left w:val="none" w:sz="0" w:space="0" w:color="auto"/>
        <w:bottom w:val="none" w:sz="0" w:space="0" w:color="auto"/>
        <w:right w:val="none" w:sz="0" w:space="0" w:color="auto"/>
      </w:divBdr>
      <w:divsChild>
        <w:div w:id="1366177176">
          <w:marLeft w:val="0"/>
          <w:marRight w:val="0"/>
          <w:marTop w:val="0"/>
          <w:marBottom w:val="0"/>
          <w:divBdr>
            <w:top w:val="none" w:sz="0" w:space="0" w:color="auto"/>
            <w:left w:val="none" w:sz="0" w:space="0" w:color="auto"/>
            <w:bottom w:val="none" w:sz="0" w:space="0" w:color="auto"/>
            <w:right w:val="none" w:sz="0" w:space="0" w:color="auto"/>
          </w:divBdr>
        </w:div>
        <w:div w:id="807090057">
          <w:marLeft w:val="0"/>
          <w:marRight w:val="0"/>
          <w:marTop w:val="0"/>
          <w:marBottom w:val="0"/>
          <w:divBdr>
            <w:top w:val="none" w:sz="0" w:space="0" w:color="auto"/>
            <w:left w:val="none" w:sz="0" w:space="0" w:color="auto"/>
            <w:bottom w:val="none" w:sz="0" w:space="0" w:color="auto"/>
            <w:right w:val="none" w:sz="0" w:space="0" w:color="auto"/>
          </w:divBdr>
        </w:div>
        <w:div w:id="192806940">
          <w:marLeft w:val="0"/>
          <w:marRight w:val="0"/>
          <w:marTop w:val="0"/>
          <w:marBottom w:val="0"/>
          <w:divBdr>
            <w:top w:val="none" w:sz="0" w:space="0" w:color="auto"/>
            <w:left w:val="none" w:sz="0" w:space="0" w:color="auto"/>
            <w:bottom w:val="none" w:sz="0" w:space="0" w:color="auto"/>
            <w:right w:val="none" w:sz="0" w:space="0" w:color="auto"/>
          </w:divBdr>
        </w:div>
        <w:div w:id="999582763">
          <w:marLeft w:val="0"/>
          <w:marRight w:val="0"/>
          <w:marTop w:val="0"/>
          <w:marBottom w:val="0"/>
          <w:divBdr>
            <w:top w:val="none" w:sz="0" w:space="0" w:color="auto"/>
            <w:left w:val="none" w:sz="0" w:space="0" w:color="auto"/>
            <w:bottom w:val="none" w:sz="0" w:space="0" w:color="auto"/>
            <w:right w:val="none" w:sz="0" w:space="0" w:color="auto"/>
          </w:divBdr>
        </w:div>
        <w:div w:id="1269655618">
          <w:marLeft w:val="0"/>
          <w:marRight w:val="0"/>
          <w:marTop w:val="0"/>
          <w:marBottom w:val="0"/>
          <w:divBdr>
            <w:top w:val="none" w:sz="0" w:space="0" w:color="auto"/>
            <w:left w:val="none" w:sz="0" w:space="0" w:color="auto"/>
            <w:bottom w:val="none" w:sz="0" w:space="0" w:color="auto"/>
            <w:right w:val="none" w:sz="0" w:space="0" w:color="auto"/>
          </w:divBdr>
        </w:div>
        <w:div w:id="1237862459">
          <w:marLeft w:val="0"/>
          <w:marRight w:val="0"/>
          <w:marTop w:val="0"/>
          <w:marBottom w:val="0"/>
          <w:divBdr>
            <w:top w:val="none" w:sz="0" w:space="0" w:color="auto"/>
            <w:left w:val="none" w:sz="0" w:space="0" w:color="auto"/>
            <w:bottom w:val="none" w:sz="0" w:space="0" w:color="auto"/>
            <w:right w:val="none" w:sz="0" w:space="0" w:color="auto"/>
          </w:divBdr>
        </w:div>
        <w:div w:id="459151298">
          <w:marLeft w:val="0"/>
          <w:marRight w:val="0"/>
          <w:marTop w:val="0"/>
          <w:marBottom w:val="0"/>
          <w:divBdr>
            <w:top w:val="none" w:sz="0" w:space="0" w:color="auto"/>
            <w:left w:val="none" w:sz="0" w:space="0" w:color="auto"/>
            <w:bottom w:val="none" w:sz="0" w:space="0" w:color="auto"/>
            <w:right w:val="none" w:sz="0" w:space="0" w:color="auto"/>
          </w:divBdr>
        </w:div>
        <w:div w:id="2035031224">
          <w:marLeft w:val="0"/>
          <w:marRight w:val="0"/>
          <w:marTop w:val="0"/>
          <w:marBottom w:val="0"/>
          <w:divBdr>
            <w:top w:val="none" w:sz="0" w:space="0" w:color="auto"/>
            <w:left w:val="none" w:sz="0" w:space="0" w:color="auto"/>
            <w:bottom w:val="none" w:sz="0" w:space="0" w:color="auto"/>
            <w:right w:val="none" w:sz="0" w:space="0" w:color="auto"/>
          </w:divBdr>
        </w:div>
        <w:div w:id="1055351075">
          <w:marLeft w:val="0"/>
          <w:marRight w:val="0"/>
          <w:marTop w:val="0"/>
          <w:marBottom w:val="0"/>
          <w:divBdr>
            <w:top w:val="none" w:sz="0" w:space="0" w:color="auto"/>
            <w:left w:val="none" w:sz="0" w:space="0" w:color="auto"/>
            <w:bottom w:val="none" w:sz="0" w:space="0" w:color="auto"/>
            <w:right w:val="none" w:sz="0" w:space="0" w:color="auto"/>
          </w:divBdr>
        </w:div>
        <w:div w:id="512694639">
          <w:marLeft w:val="0"/>
          <w:marRight w:val="0"/>
          <w:marTop w:val="0"/>
          <w:marBottom w:val="0"/>
          <w:divBdr>
            <w:top w:val="none" w:sz="0" w:space="0" w:color="auto"/>
            <w:left w:val="none" w:sz="0" w:space="0" w:color="auto"/>
            <w:bottom w:val="none" w:sz="0" w:space="0" w:color="auto"/>
            <w:right w:val="none" w:sz="0" w:space="0" w:color="auto"/>
          </w:divBdr>
        </w:div>
        <w:div w:id="1120145209">
          <w:marLeft w:val="0"/>
          <w:marRight w:val="0"/>
          <w:marTop w:val="0"/>
          <w:marBottom w:val="0"/>
          <w:divBdr>
            <w:top w:val="none" w:sz="0" w:space="0" w:color="auto"/>
            <w:left w:val="none" w:sz="0" w:space="0" w:color="auto"/>
            <w:bottom w:val="none" w:sz="0" w:space="0" w:color="auto"/>
            <w:right w:val="none" w:sz="0" w:space="0" w:color="auto"/>
          </w:divBdr>
        </w:div>
        <w:div w:id="78647380">
          <w:marLeft w:val="0"/>
          <w:marRight w:val="0"/>
          <w:marTop w:val="0"/>
          <w:marBottom w:val="0"/>
          <w:divBdr>
            <w:top w:val="none" w:sz="0" w:space="0" w:color="auto"/>
            <w:left w:val="none" w:sz="0" w:space="0" w:color="auto"/>
            <w:bottom w:val="none" w:sz="0" w:space="0" w:color="auto"/>
            <w:right w:val="none" w:sz="0" w:space="0" w:color="auto"/>
          </w:divBdr>
        </w:div>
        <w:div w:id="43528754">
          <w:marLeft w:val="0"/>
          <w:marRight w:val="0"/>
          <w:marTop w:val="0"/>
          <w:marBottom w:val="0"/>
          <w:divBdr>
            <w:top w:val="none" w:sz="0" w:space="0" w:color="auto"/>
            <w:left w:val="none" w:sz="0" w:space="0" w:color="auto"/>
            <w:bottom w:val="none" w:sz="0" w:space="0" w:color="auto"/>
            <w:right w:val="none" w:sz="0" w:space="0" w:color="auto"/>
          </w:divBdr>
        </w:div>
        <w:div w:id="1249658819">
          <w:marLeft w:val="0"/>
          <w:marRight w:val="0"/>
          <w:marTop w:val="0"/>
          <w:marBottom w:val="0"/>
          <w:divBdr>
            <w:top w:val="none" w:sz="0" w:space="0" w:color="auto"/>
            <w:left w:val="none" w:sz="0" w:space="0" w:color="auto"/>
            <w:bottom w:val="none" w:sz="0" w:space="0" w:color="auto"/>
            <w:right w:val="none" w:sz="0" w:space="0" w:color="auto"/>
          </w:divBdr>
        </w:div>
        <w:div w:id="814950713">
          <w:marLeft w:val="0"/>
          <w:marRight w:val="0"/>
          <w:marTop w:val="0"/>
          <w:marBottom w:val="0"/>
          <w:divBdr>
            <w:top w:val="none" w:sz="0" w:space="0" w:color="auto"/>
            <w:left w:val="none" w:sz="0" w:space="0" w:color="auto"/>
            <w:bottom w:val="none" w:sz="0" w:space="0" w:color="auto"/>
            <w:right w:val="none" w:sz="0" w:space="0" w:color="auto"/>
          </w:divBdr>
        </w:div>
        <w:div w:id="265816957">
          <w:marLeft w:val="0"/>
          <w:marRight w:val="0"/>
          <w:marTop w:val="0"/>
          <w:marBottom w:val="0"/>
          <w:divBdr>
            <w:top w:val="none" w:sz="0" w:space="0" w:color="auto"/>
            <w:left w:val="none" w:sz="0" w:space="0" w:color="auto"/>
            <w:bottom w:val="none" w:sz="0" w:space="0" w:color="auto"/>
            <w:right w:val="none" w:sz="0" w:space="0" w:color="auto"/>
          </w:divBdr>
        </w:div>
        <w:div w:id="1336345116">
          <w:marLeft w:val="0"/>
          <w:marRight w:val="0"/>
          <w:marTop w:val="0"/>
          <w:marBottom w:val="0"/>
          <w:divBdr>
            <w:top w:val="none" w:sz="0" w:space="0" w:color="auto"/>
            <w:left w:val="none" w:sz="0" w:space="0" w:color="auto"/>
            <w:bottom w:val="none" w:sz="0" w:space="0" w:color="auto"/>
            <w:right w:val="none" w:sz="0" w:space="0" w:color="auto"/>
          </w:divBdr>
        </w:div>
        <w:div w:id="2108191578">
          <w:marLeft w:val="0"/>
          <w:marRight w:val="0"/>
          <w:marTop w:val="0"/>
          <w:marBottom w:val="0"/>
          <w:divBdr>
            <w:top w:val="none" w:sz="0" w:space="0" w:color="auto"/>
            <w:left w:val="none" w:sz="0" w:space="0" w:color="auto"/>
            <w:bottom w:val="none" w:sz="0" w:space="0" w:color="auto"/>
            <w:right w:val="none" w:sz="0" w:space="0" w:color="auto"/>
          </w:divBdr>
        </w:div>
        <w:div w:id="1569530339">
          <w:marLeft w:val="0"/>
          <w:marRight w:val="0"/>
          <w:marTop w:val="0"/>
          <w:marBottom w:val="0"/>
          <w:divBdr>
            <w:top w:val="none" w:sz="0" w:space="0" w:color="auto"/>
            <w:left w:val="none" w:sz="0" w:space="0" w:color="auto"/>
            <w:bottom w:val="none" w:sz="0" w:space="0" w:color="auto"/>
            <w:right w:val="none" w:sz="0" w:space="0" w:color="auto"/>
          </w:divBdr>
        </w:div>
        <w:div w:id="626662869">
          <w:marLeft w:val="0"/>
          <w:marRight w:val="0"/>
          <w:marTop w:val="0"/>
          <w:marBottom w:val="0"/>
          <w:divBdr>
            <w:top w:val="none" w:sz="0" w:space="0" w:color="auto"/>
            <w:left w:val="none" w:sz="0" w:space="0" w:color="auto"/>
            <w:bottom w:val="none" w:sz="0" w:space="0" w:color="auto"/>
            <w:right w:val="none" w:sz="0" w:space="0" w:color="auto"/>
          </w:divBdr>
        </w:div>
        <w:div w:id="1980114316">
          <w:marLeft w:val="0"/>
          <w:marRight w:val="0"/>
          <w:marTop w:val="0"/>
          <w:marBottom w:val="0"/>
          <w:divBdr>
            <w:top w:val="none" w:sz="0" w:space="0" w:color="auto"/>
            <w:left w:val="none" w:sz="0" w:space="0" w:color="auto"/>
            <w:bottom w:val="none" w:sz="0" w:space="0" w:color="auto"/>
            <w:right w:val="none" w:sz="0" w:space="0" w:color="auto"/>
          </w:divBdr>
        </w:div>
        <w:div w:id="82342519">
          <w:marLeft w:val="0"/>
          <w:marRight w:val="0"/>
          <w:marTop w:val="0"/>
          <w:marBottom w:val="0"/>
          <w:divBdr>
            <w:top w:val="none" w:sz="0" w:space="0" w:color="auto"/>
            <w:left w:val="none" w:sz="0" w:space="0" w:color="auto"/>
            <w:bottom w:val="none" w:sz="0" w:space="0" w:color="auto"/>
            <w:right w:val="none" w:sz="0" w:space="0" w:color="auto"/>
          </w:divBdr>
        </w:div>
        <w:div w:id="1448817907">
          <w:marLeft w:val="0"/>
          <w:marRight w:val="0"/>
          <w:marTop w:val="0"/>
          <w:marBottom w:val="0"/>
          <w:divBdr>
            <w:top w:val="none" w:sz="0" w:space="0" w:color="auto"/>
            <w:left w:val="none" w:sz="0" w:space="0" w:color="auto"/>
            <w:bottom w:val="none" w:sz="0" w:space="0" w:color="auto"/>
            <w:right w:val="none" w:sz="0" w:space="0" w:color="auto"/>
          </w:divBdr>
        </w:div>
        <w:div w:id="1561869872">
          <w:marLeft w:val="0"/>
          <w:marRight w:val="0"/>
          <w:marTop w:val="0"/>
          <w:marBottom w:val="0"/>
          <w:divBdr>
            <w:top w:val="none" w:sz="0" w:space="0" w:color="auto"/>
            <w:left w:val="none" w:sz="0" w:space="0" w:color="auto"/>
            <w:bottom w:val="none" w:sz="0" w:space="0" w:color="auto"/>
            <w:right w:val="none" w:sz="0" w:space="0" w:color="auto"/>
          </w:divBdr>
        </w:div>
        <w:div w:id="1134180209">
          <w:marLeft w:val="0"/>
          <w:marRight w:val="0"/>
          <w:marTop w:val="0"/>
          <w:marBottom w:val="0"/>
          <w:divBdr>
            <w:top w:val="none" w:sz="0" w:space="0" w:color="auto"/>
            <w:left w:val="none" w:sz="0" w:space="0" w:color="auto"/>
            <w:bottom w:val="none" w:sz="0" w:space="0" w:color="auto"/>
            <w:right w:val="none" w:sz="0" w:space="0" w:color="auto"/>
          </w:divBdr>
        </w:div>
        <w:div w:id="105782347">
          <w:marLeft w:val="0"/>
          <w:marRight w:val="0"/>
          <w:marTop w:val="0"/>
          <w:marBottom w:val="0"/>
          <w:divBdr>
            <w:top w:val="none" w:sz="0" w:space="0" w:color="auto"/>
            <w:left w:val="none" w:sz="0" w:space="0" w:color="auto"/>
            <w:bottom w:val="none" w:sz="0" w:space="0" w:color="auto"/>
            <w:right w:val="none" w:sz="0" w:space="0" w:color="auto"/>
          </w:divBdr>
        </w:div>
        <w:div w:id="111216343">
          <w:marLeft w:val="0"/>
          <w:marRight w:val="0"/>
          <w:marTop w:val="0"/>
          <w:marBottom w:val="0"/>
          <w:divBdr>
            <w:top w:val="none" w:sz="0" w:space="0" w:color="auto"/>
            <w:left w:val="none" w:sz="0" w:space="0" w:color="auto"/>
            <w:bottom w:val="none" w:sz="0" w:space="0" w:color="auto"/>
            <w:right w:val="none" w:sz="0" w:space="0" w:color="auto"/>
          </w:divBdr>
        </w:div>
        <w:div w:id="1684437483">
          <w:marLeft w:val="0"/>
          <w:marRight w:val="0"/>
          <w:marTop w:val="0"/>
          <w:marBottom w:val="0"/>
          <w:divBdr>
            <w:top w:val="none" w:sz="0" w:space="0" w:color="auto"/>
            <w:left w:val="none" w:sz="0" w:space="0" w:color="auto"/>
            <w:bottom w:val="none" w:sz="0" w:space="0" w:color="auto"/>
            <w:right w:val="none" w:sz="0" w:space="0" w:color="auto"/>
          </w:divBdr>
        </w:div>
        <w:div w:id="1555002346">
          <w:marLeft w:val="0"/>
          <w:marRight w:val="0"/>
          <w:marTop w:val="0"/>
          <w:marBottom w:val="0"/>
          <w:divBdr>
            <w:top w:val="none" w:sz="0" w:space="0" w:color="auto"/>
            <w:left w:val="none" w:sz="0" w:space="0" w:color="auto"/>
            <w:bottom w:val="none" w:sz="0" w:space="0" w:color="auto"/>
            <w:right w:val="none" w:sz="0" w:space="0" w:color="auto"/>
          </w:divBdr>
        </w:div>
        <w:div w:id="161162522">
          <w:marLeft w:val="0"/>
          <w:marRight w:val="0"/>
          <w:marTop w:val="0"/>
          <w:marBottom w:val="0"/>
          <w:divBdr>
            <w:top w:val="none" w:sz="0" w:space="0" w:color="auto"/>
            <w:left w:val="none" w:sz="0" w:space="0" w:color="auto"/>
            <w:bottom w:val="none" w:sz="0" w:space="0" w:color="auto"/>
            <w:right w:val="none" w:sz="0" w:space="0" w:color="auto"/>
          </w:divBdr>
        </w:div>
        <w:div w:id="1460219553">
          <w:marLeft w:val="0"/>
          <w:marRight w:val="0"/>
          <w:marTop w:val="0"/>
          <w:marBottom w:val="0"/>
          <w:divBdr>
            <w:top w:val="none" w:sz="0" w:space="0" w:color="auto"/>
            <w:left w:val="none" w:sz="0" w:space="0" w:color="auto"/>
            <w:bottom w:val="none" w:sz="0" w:space="0" w:color="auto"/>
            <w:right w:val="none" w:sz="0" w:space="0" w:color="auto"/>
          </w:divBdr>
        </w:div>
        <w:div w:id="2047368810">
          <w:marLeft w:val="0"/>
          <w:marRight w:val="0"/>
          <w:marTop w:val="0"/>
          <w:marBottom w:val="0"/>
          <w:divBdr>
            <w:top w:val="none" w:sz="0" w:space="0" w:color="auto"/>
            <w:left w:val="none" w:sz="0" w:space="0" w:color="auto"/>
            <w:bottom w:val="none" w:sz="0" w:space="0" w:color="auto"/>
            <w:right w:val="none" w:sz="0" w:space="0" w:color="auto"/>
          </w:divBdr>
        </w:div>
        <w:div w:id="830832252">
          <w:marLeft w:val="0"/>
          <w:marRight w:val="0"/>
          <w:marTop w:val="0"/>
          <w:marBottom w:val="0"/>
          <w:divBdr>
            <w:top w:val="none" w:sz="0" w:space="0" w:color="auto"/>
            <w:left w:val="none" w:sz="0" w:space="0" w:color="auto"/>
            <w:bottom w:val="none" w:sz="0" w:space="0" w:color="auto"/>
            <w:right w:val="none" w:sz="0" w:space="0" w:color="auto"/>
          </w:divBdr>
        </w:div>
        <w:div w:id="220409535">
          <w:marLeft w:val="0"/>
          <w:marRight w:val="0"/>
          <w:marTop w:val="0"/>
          <w:marBottom w:val="0"/>
          <w:divBdr>
            <w:top w:val="none" w:sz="0" w:space="0" w:color="auto"/>
            <w:left w:val="none" w:sz="0" w:space="0" w:color="auto"/>
            <w:bottom w:val="none" w:sz="0" w:space="0" w:color="auto"/>
            <w:right w:val="none" w:sz="0" w:space="0" w:color="auto"/>
          </w:divBdr>
        </w:div>
        <w:div w:id="1682899784">
          <w:marLeft w:val="0"/>
          <w:marRight w:val="0"/>
          <w:marTop w:val="0"/>
          <w:marBottom w:val="0"/>
          <w:divBdr>
            <w:top w:val="none" w:sz="0" w:space="0" w:color="auto"/>
            <w:left w:val="none" w:sz="0" w:space="0" w:color="auto"/>
            <w:bottom w:val="none" w:sz="0" w:space="0" w:color="auto"/>
            <w:right w:val="none" w:sz="0" w:space="0" w:color="auto"/>
          </w:divBdr>
        </w:div>
        <w:div w:id="1720203485">
          <w:marLeft w:val="0"/>
          <w:marRight w:val="0"/>
          <w:marTop w:val="0"/>
          <w:marBottom w:val="0"/>
          <w:divBdr>
            <w:top w:val="none" w:sz="0" w:space="0" w:color="auto"/>
            <w:left w:val="none" w:sz="0" w:space="0" w:color="auto"/>
            <w:bottom w:val="none" w:sz="0" w:space="0" w:color="auto"/>
            <w:right w:val="none" w:sz="0" w:space="0" w:color="auto"/>
          </w:divBdr>
        </w:div>
        <w:div w:id="418257841">
          <w:marLeft w:val="0"/>
          <w:marRight w:val="0"/>
          <w:marTop w:val="0"/>
          <w:marBottom w:val="0"/>
          <w:divBdr>
            <w:top w:val="none" w:sz="0" w:space="0" w:color="auto"/>
            <w:left w:val="none" w:sz="0" w:space="0" w:color="auto"/>
            <w:bottom w:val="none" w:sz="0" w:space="0" w:color="auto"/>
            <w:right w:val="none" w:sz="0" w:space="0" w:color="auto"/>
          </w:divBdr>
        </w:div>
        <w:div w:id="1511725575">
          <w:marLeft w:val="0"/>
          <w:marRight w:val="0"/>
          <w:marTop w:val="0"/>
          <w:marBottom w:val="0"/>
          <w:divBdr>
            <w:top w:val="none" w:sz="0" w:space="0" w:color="auto"/>
            <w:left w:val="none" w:sz="0" w:space="0" w:color="auto"/>
            <w:bottom w:val="none" w:sz="0" w:space="0" w:color="auto"/>
            <w:right w:val="none" w:sz="0" w:space="0" w:color="auto"/>
          </w:divBdr>
        </w:div>
        <w:div w:id="91052353">
          <w:marLeft w:val="0"/>
          <w:marRight w:val="0"/>
          <w:marTop w:val="0"/>
          <w:marBottom w:val="0"/>
          <w:divBdr>
            <w:top w:val="none" w:sz="0" w:space="0" w:color="auto"/>
            <w:left w:val="none" w:sz="0" w:space="0" w:color="auto"/>
            <w:bottom w:val="none" w:sz="0" w:space="0" w:color="auto"/>
            <w:right w:val="none" w:sz="0" w:space="0" w:color="auto"/>
          </w:divBdr>
        </w:div>
        <w:div w:id="678973393">
          <w:marLeft w:val="0"/>
          <w:marRight w:val="0"/>
          <w:marTop w:val="0"/>
          <w:marBottom w:val="0"/>
          <w:divBdr>
            <w:top w:val="none" w:sz="0" w:space="0" w:color="auto"/>
            <w:left w:val="none" w:sz="0" w:space="0" w:color="auto"/>
            <w:bottom w:val="none" w:sz="0" w:space="0" w:color="auto"/>
            <w:right w:val="none" w:sz="0" w:space="0" w:color="auto"/>
          </w:divBdr>
        </w:div>
        <w:div w:id="359089103">
          <w:marLeft w:val="0"/>
          <w:marRight w:val="0"/>
          <w:marTop w:val="0"/>
          <w:marBottom w:val="0"/>
          <w:divBdr>
            <w:top w:val="none" w:sz="0" w:space="0" w:color="auto"/>
            <w:left w:val="none" w:sz="0" w:space="0" w:color="auto"/>
            <w:bottom w:val="none" w:sz="0" w:space="0" w:color="auto"/>
            <w:right w:val="none" w:sz="0" w:space="0" w:color="auto"/>
          </w:divBdr>
        </w:div>
        <w:div w:id="37975318">
          <w:marLeft w:val="0"/>
          <w:marRight w:val="0"/>
          <w:marTop w:val="0"/>
          <w:marBottom w:val="0"/>
          <w:divBdr>
            <w:top w:val="none" w:sz="0" w:space="0" w:color="auto"/>
            <w:left w:val="none" w:sz="0" w:space="0" w:color="auto"/>
            <w:bottom w:val="none" w:sz="0" w:space="0" w:color="auto"/>
            <w:right w:val="none" w:sz="0" w:space="0" w:color="auto"/>
          </w:divBdr>
        </w:div>
        <w:div w:id="1942377046">
          <w:marLeft w:val="0"/>
          <w:marRight w:val="0"/>
          <w:marTop w:val="0"/>
          <w:marBottom w:val="0"/>
          <w:divBdr>
            <w:top w:val="none" w:sz="0" w:space="0" w:color="auto"/>
            <w:left w:val="none" w:sz="0" w:space="0" w:color="auto"/>
            <w:bottom w:val="none" w:sz="0" w:space="0" w:color="auto"/>
            <w:right w:val="none" w:sz="0" w:space="0" w:color="auto"/>
          </w:divBdr>
        </w:div>
        <w:div w:id="1511094951">
          <w:marLeft w:val="0"/>
          <w:marRight w:val="0"/>
          <w:marTop w:val="0"/>
          <w:marBottom w:val="0"/>
          <w:divBdr>
            <w:top w:val="none" w:sz="0" w:space="0" w:color="auto"/>
            <w:left w:val="none" w:sz="0" w:space="0" w:color="auto"/>
            <w:bottom w:val="none" w:sz="0" w:space="0" w:color="auto"/>
            <w:right w:val="none" w:sz="0" w:space="0" w:color="auto"/>
          </w:divBdr>
        </w:div>
        <w:div w:id="167407512">
          <w:marLeft w:val="0"/>
          <w:marRight w:val="0"/>
          <w:marTop w:val="0"/>
          <w:marBottom w:val="0"/>
          <w:divBdr>
            <w:top w:val="none" w:sz="0" w:space="0" w:color="auto"/>
            <w:left w:val="none" w:sz="0" w:space="0" w:color="auto"/>
            <w:bottom w:val="none" w:sz="0" w:space="0" w:color="auto"/>
            <w:right w:val="none" w:sz="0" w:space="0" w:color="auto"/>
          </w:divBdr>
        </w:div>
        <w:div w:id="1073551889">
          <w:marLeft w:val="0"/>
          <w:marRight w:val="0"/>
          <w:marTop w:val="0"/>
          <w:marBottom w:val="0"/>
          <w:divBdr>
            <w:top w:val="none" w:sz="0" w:space="0" w:color="auto"/>
            <w:left w:val="none" w:sz="0" w:space="0" w:color="auto"/>
            <w:bottom w:val="none" w:sz="0" w:space="0" w:color="auto"/>
            <w:right w:val="none" w:sz="0" w:space="0" w:color="auto"/>
          </w:divBdr>
        </w:div>
        <w:div w:id="328606682">
          <w:marLeft w:val="0"/>
          <w:marRight w:val="0"/>
          <w:marTop w:val="0"/>
          <w:marBottom w:val="0"/>
          <w:divBdr>
            <w:top w:val="none" w:sz="0" w:space="0" w:color="auto"/>
            <w:left w:val="none" w:sz="0" w:space="0" w:color="auto"/>
            <w:bottom w:val="none" w:sz="0" w:space="0" w:color="auto"/>
            <w:right w:val="none" w:sz="0" w:space="0" w:color="auto"/>
          </w:divBdr>
        </w:div>
        <w:div w:id="1654989695">
          <w:marLeft w:val="0"/>
          <w:marRight w:val="0"/>
          <w:marTop w:val="0"/>
          <w:marBottom w:val="0"/>
          <w:divBdr>
            <w:top w:val="none" w:sz="0" w:space="0" w:color="auto"/>
            <w:left w:val="none" w:sz="0" w:space="0" w:color="auto"/>
            <w:bottom w:val="none" w:sz="0" w:space="0" w:color="auto"/>
            <w:right w:val="none" w:sz="0" w:space="0" w:color="auto"/>
          </w:divBdr>
        </w:div>
        <w:div w:id="1612009579">
          <w:marLeft w:val="0"/>
          <w:marRight w:val="0"/>
          <w:marTop w:val="0"/>
          <w:marBottom w:val="0"/>
          <w:divBdr>
            <w:top w:val="none" w:sz="0" w:space="0" w:color="auto"/>
            <w:left w:val="none" w:sz="0" w:space="0" w:color="auto"/>
            <w:bottom w:val="none" w:sz="0" w:space="0" w:color="auto"/>
            <w:right w:val="none" w:sz="0" w:space="0" w:color="auto"/>
          </w:divBdr>
        </w:div>
        <w:div w:id="1233466577">
          <w:marLeft w:val="0"/>
          <w:marRight w:val="0"/>
          <w:marTop w:val="0"/>
          <w:marBottom w:val="0"/>
          <w:divBdr>
            <w:top w:val="none" w:sz="0" w:space="0" w:color="auto"/>
            <w:left w:val="none" w:sz="0" w:space="0" w:color="auto"/>
            <w:bottom w:val="none" w:sz="0" w:space="0" w:color="auto"/>
            <w:right w:val="none" w:sz="0" w:space="0" w:color="auto"/>
          </w:divBdr>
        </w:div>
        <w:div w:id="1506506840">
          <w:marLeft w:val="0"/>
          <w:marRight w:val="0"/>
          <w:marTop w:val="0"/>
          <w:marBottom w:val="0"/>
          <w:divBdr>
            <w:top w:val="none" w:sz="0" w:space="0" w:color="auto"/>
            <w:left w:val="none" w:sz="0" w:space="0" w:color="auto"/>
            <w:bottom w:val="none" w:sz="0" w:space="0" w:color="auto"/>
            <w:right w:val="none" w:sz="0" w:space="0" w:color="auto"/>
          </w:divBdr>
        </w:div>
        <w:div w:id="81418154">
          <w:marLeft w:val="0"/>
          <w:marRight w:val="0"/>
          <w:marTop w:val="0"/>
          <w:marBottom w:val="0"/>
          <w:divBdr>
            <w:top w:val="none" w:sz="0" w:space="0" w:color="auto"/>
            <w:left w:val="none" w:sz="0" w:space="0" w:color="auto"/>
            <w:bottom w:val="none" w:sz="0" w:space="0" w:color="auto"/>
            <w:right w:val="none" w:sz="0" w:space="0" w:color="auto"/>
          </w:divBdr>
        </w:div>
        <w:div w:id="1007320419">
          <w:marLeft w:val="0"/>
          <w:marRight w:val="0"/>
          <w:marTop w:val="0"/>
          <w:marBottom w:val="0"/>
          <w:divBdr>
            <w:top w:val="none" w:sz="0" w:space="0" w:color="auto"/>
            <w:left w:val="none" w:sz="0" w:space="0" w:color="auto"/>
            <w:bottom w:val="none" w:sz="0" w:space="0" w:color="auto"/>
            <w:right w:val="none" w:sz="0" w:space="0" w:color="auto"/>
          </w:divBdr>
        </w:div>
        <w:div w:id="1590625797">
          <w:marLeft w:val="0"/>
          <w:marRight w:val="0"/>
          <w:marTop w:val="0"/>
          <w:marBottom w:val="0"/>
          <w:divBdr>
            <w:top w:val="none" w:sz="0" w:space="0" w:color="auto"/>
            <w:left w:val="none" w:sz="0" w:space="0" w:color="auto"/>
            <w:bottom w:val="none" w:sz="0" w:space="0" w:color="auto"/>
            <w:right w:val="none" w:sz="0" w:space="0" w:color="auto"/>
          </w:divBdr>
        </w:div>
        <w:div w:id="1860271825">
          <w:marLeft w:val="0"/>
          <w:marRight w:val="0"/>
          <w:marTop w:val="0"/>
          <w:marBottom w:val="0"/>
          <w:divBdr>
            <w:top w:val="none" w:sz="0" w:space="0" w:color="auto"/>
            <w:left w:val="none" w:sz="0" w:space="0" w:color="auto"/>
            <w:bottom w:val="none" w:sz="0" w:space="0" w:color="auto"/>
            <w:right w:val="none" w:sz="0" w:space="0" w:color="auto"/>
          </w:divBdr>
        </w:div>
        <w:div w:id="1082991376">
          <w:marLeft w:val="0"/>
          <w:marRight w:val="0"/>
          <w:marTop w:val="0"/>
          <w:marBottom w:val="0"/>
          <w:divBdr>
            <w:top w:val="none" w:sz="0" w:space="0" w:color="auto"/>
            <w:left w:val="none" w:sz="0" w:space="0" w:color="auto"/>
            <w:bottom w:val="none" w:sz="0" w:space="0" w:color="auto"/>
            <w:right w:val="none" w:sz="0" w:space="0" w:color="auto"/>
          </w:divBdr>
        </w:div>
        <w:div w:id="798380750">
          <w:marLeft w:val="0"/>
          <w:marRight w:val="0"/>
          <w:marTop w:val="0"/>
          <w:marBottom w:val="0"/>
          <w:divBdr>
            <w:top w:val="none" w:sz="0" w:space="0" w:color="auto"/>
            <w:left w:val="none" w:sz="0" w:space="0" w:color="auto"/>
            <w:bottom w:val="none" w:sz="0" w:space="0" w:color="auto"/>
            <w:right w:val="none" w:sz="0" w:space="0" w:color="auto"/>
          </w:divBdr>
        </w:div>
        <w:div w:id="1119956005">
          <w:marLeft w:val="0"/>
          <w:marRight w:val="0"/>
          <w:marTop w:val="0"/>
          <w:marBottom w:val="0"/>
          <w:divBdr>
            <w:top w:val="none" w:sz="0" w:space="0" w:color="auto"/>
            <w:left w:val="none" w:sz="0" w:space="0" w:color="auto"/>
            <w:bottom w:val="none" w:sz="0" w:space="0" w:color="auto"/>
            <w:right w:val="none" w:sz="0" w:space="0" w:color="auto"/>
          </w:divBdr>
        </w:div>
        <w:div w:id="477497701">
          <w:marLeft w:val="0"/>
          <w:marRight w:val="0"/>
          <w:marTop w:val="0"/>
          <w:marBottom w:val="0"/>
          <w:divBdr>
            <w:top w:val="none" w:sz="0" w:space="0" w:color="auto"/>
            <w:left w:val="none" w:sz="0" w:space="0" w:color="auto"/>
            <w:bottom w:val="none" w:sz="0" w:space="0" w:color="auto"/>
            <w:right w:val="none" w:sz="0" w:space="0" w:color="auto"/>
          </w:divBdr>
        </w:div>
        <w:div w:id="77137139">
          <w:marLeft w:val="0"/>
          <w:marRight w:val="0"/>
          <w:marTop w:val="0"/>
          <w:marBottom w:val="0"/>
          <w:divBdr>
            <w:top w:val="none" w:sz="0" w:space="0" w:color="auto"/>
            <w:left w:val="none" w:sz="0" w:space="0" w:color="auto"/>
            <w:bottom w:val="none" w:sz="0" w:space="0" w:color="auto"/>
            <w:right w:val="none" w:sz="0" w:space="0" w:color="auto"/>
          </w:divBdr>
        </w:div>
        <w:div w:id="1724015608">
          <w:marLeft w:val="0"/>
          <w:marRight w:val="0"/>
          <w:marTop w:val="0"/>
          <w:marBottom w:val="0"/>
          <w:divBdr>
            <w:top w:val="none" w:sz="0" w:space="0" w:color="auto"/>
            <w:left w:val="none" w:sz="0" w:space="0" w:color="auto"/>
            <w:bottom w:val="none" w:sz="0" w:space="0" w:color="auto"/>
            <w:right w:val="none" w:sz="0" w:space="0" w:color="auto"/>
          </w:divBdr>
        </w:div>
        <w:div w:id="1041250462">
          <w:marLeft w:val="0"/>
          <w:marRight w:val="0"/>
          <w:marTop w:val="0"/>
          <w:marBottom w:val="0"/>
          <w:divBdr>
            <w:top w:val="none" w:sz="0" w:space="0" w:color="auto"/>
            <w:left w:val="none" w:sz="0" w:space="0" w:color="auto"/>
            <w:bottom w:val="none" w:sz="0" w:space="0" w:color="auto"/>
            <w:right w:val="none" w:sz="0" w:space="0" w:color="auto"/>
          </w:divBdr>
        </w:div>
        <w:div w:id="245648085">
          <w:marLeft w:val="0"/>
          <w:marRight w:val="0"/>
          <w:marTop w:val="0"/>
          <w:marBottom w:val="0"/>
          <w:divBdr>
            <w:top w:val="none" w:sz="0" w:space="0" w:color="auto"/>
            <w:left w:val="none" w:sz="0" w:space="0" w:color="auto"/>
            <w:bottom w:val="none" w:sz="0" w:space="0" w:color="auto"/>
            <w:right w:val="none" w:sz="0" w:space="0" w:color="auto"/>
          </w:divBdr>
        </w:div>
        <w:div w:id="2087530436">
          <w:marLeft w:val="0"/>
          <w:marRight w:val="0"/>
          <w:marTop w:val="0"/>
          <w:marBottom w:val="0"/>
          <w:divBdr>
            <w:top w:val="none" w:sz="0" w:space="0" w:color="auto"/>
            <w:left w:val="none" w:sz="0" w:space="0" w:color="auto"/>
            <w:bottom w:val="none" w:sz="0" w:space="0" w:color="auto"/>
            <w:right w:val="none" w:sz="0" w:space="0" w:color="auto"/>
          </w:divBdr>
        </w:div>
        <w:div w:id="266156690">
          <w:marLeft w:val="0"/>
          <w:marRight w:val="0"/>
          <w:marTop w:val="0"/>
          <w:marBottom w:val="0"/>
          <w:divBdr>
            <w:top w:val="none" w:sz="0" w:space="0" w:color="auto"/>
            <w:left w:val="none" w:sz="0" w:space="0" w:color="auto"/>
            <w:bottom w:val="none" w:sz="0" w:space="0" w:color="auto"/>
            <w:right w:val="none" w:sz="0" w:space="0" w:color="auto"/>
          </w:divBdr>
        </w:div>
        <w:div w:id="80377386">
          <w:marLeft w:val="0"/>
          <w:marRight w:val="0"/>
          <w:marTop w:val="0"/>
          <w:marBottom w:val="0"/>
          <w:divBdr>
            <w:top w:val="none" w:sz="0" w:space="0" w:color="auto"/>
            <w:left w:val="none" w:sz="0" w:space="0" w:color="auto"/>
            <w:bottom w:val="none" w:sz="0" w:space="0" w:color="auto"/>
            <w:right w:val="none" w:sz="0" w:space="0" w:color="auto"/>
          </w:divBdr>
        </w:div>
        <w:div w:id="1268350689">
          <w:marLeft w:val="0"/>
          <w:marRight w:val="0"/>
          <w:marTop w:val="0"/>
          <w:marBottom w:val="0"/>
          <w:divBdr>
            <w:top w:val="none" w:sz="0" w:space="0" w:color="auto"/>
            <w:left w:val="none" w:sz="0" w:space="0" w:color="auto"/>
            <w:bottom w:val="none" w:sz="0" w:space="0" w:color="auto"/>
            <w:right w:val="none" w:sz="0" w:space="0" w:color="auto"/>
          </w:divBdr>
        </w:div>
        <w:div w:id="847250683">
          <w:marLeft w:val="0"/>
          <w:marRight w:val="0"/>
          <w:marTop w:val="0"/>
          <w:marBottom w:val="0"/>
          <w:divBdr>
            <w:top w:val="none" w:sz="0" w:space="0" w:color="auto"/>
            <w:left w:val="none" w:sz="0" w:space="0" w:color="auto"/>
            <w:bottom w:val="none" w:sz="0" w:space="0" w:color="auto"/>
            <w:right w:val="none" w:sz="0" w:space="0" w:color="auto"/>
          </w:divBdr>
        </w:div>
        <w:div w:id="550658745">
          <w:marLeft w:val="0"/>
          <w:marRight w:val="0"/>
          <w:marTop w:val="0"/>
          <w:marBottom w:val="0"/>
          <w:divBdr>
            <w:top w:val="none" w:sz="0" w:space="0" w:color="auto"/>
            <w:left w:val="none" w:sz="0" w:space="0" w:color="auto"/>
            <w:bottom w:val="none" w:sz="0" w:space="0" w:color="auto"/>
            <w:right w:val="none" w:sz="0" w:space="0" w:color="auto"/>
          </w:divBdr>
        </w:div>
        <w:div w:id="1826822385">
          <w:marLeft w:val="0"/>
          <w:marRight w:val="0"/>
          <w:marTop w:val="0"/>
          <w:marBottom w:val="0"/>
          <w:divBdr>
            <w:top w:val="none" w:sz="0" w:space="0" w:color="auto"/>
            <w:left w:val="none" w:sz="0" w:space="0" w:color="auto"/>
            <w:bottom w:val="none" w:sz="0" w:space="0" w:color="auto"/>
            <w:right w:val="none" w:sz="0" w:space="0" w:color="auto"/>
          </w:divBdr>
        </w:div>
        <w:div w:id="1598634336">
          <w:marLeft w:val="0"/>
          <w:marRight w:val="0"/>
          <w:marTop w:val="0"/>
          <w:marBottom w:val="0"/>
          <w:divBdr>
            <w:top w:val="none" w:sz="0" w:space="0" w:color="auto"/>
            <w:left w:val="none" w:sz="0" w:space="0" w:color="auto"/>
            <w:bottom w:val="none" w:sz="0" w:space="0" w:color="auto"/>
            <w:right w:val="none" w:sz="0" w:space="0" w:color="auto"/>
          </w:divBdr>
        </w:div>
        <w:div w:id="548229678">
          <w:marLeft w:val="0"/>
          <w:marRight w:val="0"/>
          <w:marTop w:val="0"/>
          <w:marBottom w:val="0"/>
          <w:divBdr>
            <w:top w:val="none" w:sz="0" w:space="0" w:color="auto"/>
            <w:left w:val="none" w:sz="0" w:space="0" w:color="auto"/>
            <w:bottom w:val="none" w:sz="0" w:space="0" w:color="auto"/>
            <w:right w:val="none" w:sz="0" w:space="0" w:color="auto"/>
          </w:divBdr>
        </w:div>
        <w:div w:id="1115708454">
          <w:marLeft w:val="0"/>
          <w:marRight w:val="0"/>
          <w:marTop w:val="0"/>
          <w:marBottom w:val="0"/>
          <w:divBdr>
            <w:top w:val="none" w:sz="0" w:space="0" w:color="auto"/>
            <w:left w:val="none" w:sz="0" w:space="0" w:color="auto"/>
            <w:bottom w:val="none" w:sz="0" w:space="0" w:color="auto"/>
            <w:right w:val="none" w:sz="0" w:space="0" w:color="auto"/>
          </w:divBdr>
        </w:div>
        <w:div w:id="1038437288">
          <w:marLeft w:val="0"/>
          <w:marRight w:val="0"/>
          <w:marTop w:val="0"/>
          <w:marBottom w:val="0"/>
          <w:divBdr>
            <w:top w:val="none" w:sz="0" w:space="0" w:color="auto"/>
            <w:left w:val="none" w:sz="0" w:space="0" w:color="auto"/>
            <w:bottom w:val="none" w:sz="0" w:space="0" w:color="auto"/>
            <w:right w:val="none" w:sz="0" w:space="0" w:color="auto"/>
          </w:divBdr>
        </w:div>
        <w:div w:id="36386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tfutures.co.uk/copy-of-regula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tfutures.co.uk/copy-of-regulato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4F0A-7F9C-4CC7-A66E-C2CD1774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Amalgamated Metal Corporation</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Bromley</dc:creator>
  <cp:lastModifiedBy>Bromley,Paul</cp:lastModifiedBy>
  <cp:revision>3</cp:revision>
  <cp:lastPrinted>2018-11-15T09:29:00Z</cp:lastPrinted>
  <dcterms:created xsi:type="dcterms:W3CDTF">2021-04-26T12:44:00Z</dcterms:created>
  <dcterms:modified xsi:type="dcterms:W3CDTF">2021-04-26T12:46:00Z</dcterms:modified>
</cp:coreProperties>
</file>